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1C72DB" w:rsidRDefault="00A47123" w14:paraId="3BBC1479" w14:textId="2FD2BF6F">
      <w:pPr>
        <w:ind w:left="-709"/>
      </w:pPr>
      <w:r>
        <w:rPr>
          <w:noProof/>
        </w:rPr>
        <w:drawing>
          <wp:inline distT="0" distB="0" distL="0" distR="0" wp14:anchorId="3D0BDBBE" wp14:editId="0AF9CB3D">
            <wp:extent cx="8040209" cy="2675662"/>
            <wp:effectExtent l="0" t="0" r="0" b="0"/>
            <wp:docPr id="201907902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8040209" cy="2675662"/>
                    </a:xfrm>
                    <a:prstGeom prst="rect">
                      <a:avLst/>
                    </a:prstGeom>
                    <a:noFill/>
                    <a:ln>
                      <a:noFill/>
                      <a:prstDash/>
                    </a:ln>
                  </pic:spPr>
                </pic:pic>
              </a:graphicData>
            </a:graphic>
          </wp:inline>
        </w:drawing>
      </w:r>
    </w:p>
    <w:p w:rsidR="001C72DB" w:rsidRDefault="001C72DB" w14:paraId="396A37B4" w14:textId="77777777">
      <w:pPr>
        <w:rPr>
          <w:lang w:val="fr-FR"/>
        </w:rPr>
      </w:pPr>
    </w:p>
    <w:tbl>
      <w:tblPr>
        <w:tblW w:w="5000" w:type="pct"/>
        <w:tblCellMar>
          <w:left w:w="10" w:type="dxa"/>
          <w:right w:w="10" w:type="dxa"/>
        </w:tblCellMar>
        <w:tblLook w:val="04A0" w:firstRow="1" w:lastRow="0" w:firstColumn="1" w:lastColumn="0" w:noHBand="0" w:noVBand="1"/>
      </w:tblPr>
      <w:tblGrid>
        <w:gridCol w:w="10948"/>
      </w:tblGrid>
      <w:tr w:rsidR="001C72DB" w14:paraId="380A04B0" w14:textId="77777777">
        <w:tc>
          <w:tcPr>
            <w:tcW w:w="10948" w:type="dxa"/>
            <w:tcMar>
              <w:top w:w="0" w:type="dxa"/>
              <w:left w:w="108" w:type="dxa"/>
              <w:bottom w:w="0" w:type="dxa"/>
              <w:right w:w="108" w:type="dxa"/>
            </w:tcMar>
          </w:tcPr>
          <w:p w:rsidRPr="005E5A38" w:rsidR="001C72DB" w:rsidRDefault="00734D6F" w14:paraId="3AE7D4C0" w14:textId="2834994C">
            <w:pPr>
              <w:jc w:val="center"/>
              <w:rPr>
                <w:rFonts w:ascii="Calibri" w:hAnsi="Calibri" w:cs="Calibri"/>
                <w:b/>
                <w:bCs/>
                <w:sz w:val="72"/>
                <w:szCs w:val="96"/>
                <w:lang w:val="es-ES"/>
              </w:rPr>
            </w:pPr>
            <w:r>
              <w:rPr>
                <w:rFonts w:ascii="Calibri" w:hAnsi="Calibri" w:cs="Calibri"/>
                <w:b/>
                <w:bCs/>
                <w:sz w:val="72"/>
                <w:szCs w:val="96"/>
              </w:rPr>
              <w:t>GT</w:t>
            </w:r>
            <w:r w:rsidR="00A47123">
              <w:rPr>
                <w:rFonts w:ascii="Calibri" w:hAnsi="Calibri" w:cs="Calibri"/>
                <w:b/>
                <w:bCs/>
                <w:sz w:val="72"/>
                <w:szCs w:val="96"/>
              </w:rPr>
              <w:t>.2 Pruebas piloto y evaluación integral</w:t>
            </w:r>
          </w:p>
          <w:p w:rsidRPr="005E5A38" w:rsidR="001C72DB" w:rsidRDefault="001C72DB" w14:paraId="6AD993DA" w14:textId="77777777">
            <w:pPr>
              <w:jc w:val="center"/>
              <w:rPr>
                <w:lang w:val="es-ES"/>
              </w:rPr>
            </w:pPr>
          </w:p>
        </w:tc>
      </w:tr>
      <w:tr w:rsidR="001C72DB" w14:paraId="29169AF8" w14:textId="77777777">
        <w:tc>
          <w:tcPr>
            <w:tcW w:w="10948" w:type="dxa"/>
            <w:tcMar>
              <w:top w:w="0" w:type="dxa"/>
              <w:left w:w="108" w:type="dxa"/>
              <w:bottom w:w="0" w:type="dxa"/>
              <w:right w:w="108" w:type="dxa"/>
            </w:tcMar>
          </w:tcPr>
          <w:p w:rsidRPr="005E5A38" w:rsidR="001C72DB" w:rsidRDefault="001C72DB" w14:paraId="73629C64" w14:textId="77777777">
            <w:pPr>
              <w:jc w:val="center"/>
              <w:rPr>
                <w:rFonts w:ascii="Calibri" w:hAnsi="Calibri" w:cs="Calibri"/>
                <w:b/>
                <w:bCs/>
                <w:sz w:val="40"/>
                <w:szCs w:val="44"/>
                <w:lang w:val="es-ES"/>
              </w:rPr>
            </w:pPr>
          </w:p>
        </w:tc>
      </w:tr>
      <w:tr w:rsidR="001C72DB" w14:paraId="40C02930" w14:textId="77777777">
        <w:tc>
          <w:tcPr>
            <w:tcW w:w="10948" w:type="dxa"/>
            <w:tcMar>
              <w:top w:w="0" w:type="dxa"/>
              <w:left w:w="108" w:type="dxa"/>
              <w:bottom w:w="0" w:type="dxa"/>
              <w:right w:w="108" w:type="dxa"/>
            </w:tcMar>
          </w:tcPr>
          <w:p w:rsidR="001C72DB" w:rsidRDefault="00A47123" w14:paraId="6343F2A2" w14:textId="77777777">
            <w:pPr>
              <w:jc w:val="center"/>
            </w:pPr>
            <w:r>
              <w:rPr>
                <w:rFonts w:ascii="Calibri" w:hAnsi="Calibri" w:cs="Calibri"/>
                <w:b/>
                <w:bCs/>
                <w:sz w:val="44"/>
                <w:szCs w:val="48"/>
              </w:rPr>
              <w:t>A.2.3: Monitorización continua de alta precisión</w:t>
            </w:r>
          </w:p>
        </w:tc>
      </w:tr>
      <w:tr w:rsidR="001C72DB" w14:paraId="4F3C2223" w14:textId="77777777">
        <w:tc>
          <w:tcPr>
            <w:tcW w:w="10948" w:type="dxa"/>
            <w:tcMar>
              <w:top w:w="0" w:type="dxa"/>
              <w:left w:w="108" w:type="dxa"/>
              <w:bottom w:w="0" w:type="dxa"/>
              <w:right w:w="108" w:type="dxa"/>
            </w:tcMar>
            <w:vAlign w:val="center"/>
          </w:tcPr>
          <w:p w:rsidR="001C72DB" w:rsidRDefault="00A47123" w14:paraId="7C7E3B94" w14:textId="77777777">
            <w:pPr>
              <w:jc w:val="center"/>
            </w:pPr>
            <w:r>
              <w:rPr>
                <w:rFonts w:ascii="Calibri" w:hAnsi="Calibri" w:cs="Calibri"/>
                <w:b/>
                <w:bCs/>
                <w:sz w:val="40"/>
                <w:szCs w:val="44"/>
              </w:rPr>
              <w:t>Entregable 2.3. Informe de evaluación de los parámetros técnicos de los experimentos piloto</w:t>
            </w:r>
          </w:p>
          <w:p w:rsidRPr="005E5A38" w:rsidR="001C72DB" w:rsidRDefault="001C72DB" w14:paraId="11C0A763" w14:textId="77777777">
            <w:pPr>
              <w:jc w:val="center"/>
              <w:rPr>
                <w:rFonts w:ascii="Calibri" w:hAnsi="Calibri" w:cs="Calibri"/>
                <w:b/>
                <w:bCs/>
                <w:sz w:val="40"/>
                <w:szCs w:val="44"/>
                <w:lang w:val="es-ES"/>
              </w:rPr>
            </w:pPr>
          </w:p>
          <w:p w:rsidR="001C72DB" w:rsidRDefault="00A47123" w14:paraId="26E235F1" w14:textId="6C6CFD93">
            <w:pPr>
              <w:jc w:val="center"/>
            </w:pPr>
            <w:r>
              <w:rPr>
                <w:rFonts w:ascii="Calibri" w:hAnsi="Calibri" w:cs="Calibri"/>
                <w:b/>
                <w:bCs/>
                <w:sz w:val="36"/>
                <w:szCs w:val="40"/>
              </w:rPr>
              <w:t xml:space="preserve">Beneficiario: </w:t>
            </w:r>
            <w:r w:rsidR="00C46758">
              <w:rPr>
                <w:rFonts w:ascii="Calibri" w:hAnsi="Calibri" w:cs="Calibri"/>
                <w:b/>
                <w:bCs/>
                <w:sz w:val="36"/>
                <w:szCs w:val="40"/>
              </w:rPr>
              <w:t>NEIKER</w:t>
            </w:r>
          </w:p>
        </w:tc>
      </w:tr>
      <w:tr w:rsidR="001C72DB" w14:paraId="0766DC37" w14:textId="77777777">
        <w:tc>
          <w:tcPr>
            <w:tcW w:w="10948" w:type="dxa"/>
            <w:tcMar>
              <w:top w:w="0" w:type="dxa"/>
              <w:left w:w="108" w:type="dxa"/>
              <w:bottom w:w="0" w:type="dxa"/>
              <w:right w:w="108" w:type="dxa"/>
            </w:tcMar>
            <w:vAlign w:val="center"/>
          </w:tcPr>
          <w:p w:rsidR="001C72DB" w:rsidRDefault="001C72DB" w14:paraId="50F66C69" w14:textId="77777777">
            <w:pPr>
              <w:jc w:val="center"/>
              <w:rPr>
                <w:rFonts w:cs="Calibri Light"/>
                <w:b/>
                <w:bCs/>
                <w:i/>
                <w:iCs/>
                <w:sz w:val="24"/>
                <w:szCs w:val="28"/>
                <w:lang w:val="fr-FR"/>
              </w:rPr>
            </w:pPr>
          </w:p>
          <w:tbl>
            <w:tblPr>
              <w:tblW w:w="7229" w:type="dxa"/>
              <w:tblInd w:w="2017" w:type="dxa"/>
              <w:tblCellMar>
                <w:left w:w="10" w:type="dxa"/>
                <w:right w:w="10" w:type="dxa"/>
              </w:tblCellMar>
              <w:tblLook w:val="04A0" w:firstRow="1" w:lastRow="0" w:firstColumn="1" w:lastColumn="0" w:noHBand="0" w:noVBand="1"/>
            </w:tblPr>
            <w:tblGrid>
              <w:gridCol w:w="3344"/>
              <w:gridCol w:w="3885"/>
            </w:tblGrid>
            <w:tr w:rsidR="001C72DB" w14:paraId="7914B7BE" w14:textId="77777777">
              <w:tc>
                <w:tcPr>
                  <w:tcW w:w="3344" w:type="dxa"/>
                  <w:tcMar>
                    <w:top w:w="0" w:type="dxa"/>
                    <w:left w:w="108" w:type="dxa"/>
                    <w:bottom w:w="0" w:type="dxa"/>
                    <w:right w:w="108" w:type="dxa"/>
                  </w:tcMar>
                </w:tcPr>
                <w:p w:rsidR="001C72DB" w:rsidRDefault="00A47123" w14:paraId="18A9CDDD" w14:textId="77777777">
                  <w:pPr>
                    <w:jc w:val="center"/>
                  </w:pPr>
                  <w:r>
                    <w:rPr>
                      <w:rFonts w:cs="Calibri Light"/>
                      <w:b/>
                      <w:bCs/>
                      <w:i/>
                      <w:iCs/>
                      <w:noProof/>
                      <w:sz w:val="24"/>
                      <w:szCs w:val="28"/>
                    </w:rPr>
                    <w:drawing>
                      <wp:inline distT="0" distB="0" distL="0" distR="0" wp14:anchorId="2BF69404" wp14:editId="2D99216A">
                        <wp:extent cx="1264130" cy="1263673"/>
                        <wp:effectExtent l="0" t="0" r="0" b="0"/>
                        <wp:docPr id="1695652675" name="Imagen 3" descr="Imagen que contiene 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264130" cy="1263673"/>
                                </a:xfrm>
                                <a:prstGeom prst="rect">
                                  <a:avLst/>
                                </a:prstGeom>
                                <a:noFill/>
                                <a:ln>
                                  <a:noFill/>
                                  <a:prstDash/>
                                </a:ln>
                              </pic:spPr>
                            </pic:pic>
                          </a:graphicData>
                        </a:graphic>
                      </wp:inline>
                    </w:drawing>
                  </w:r>
                </w:p>
              </w:tc>
              <w:tc>
                <w:tcPr>
                  <w:tcW w:w="3885" w:type="dxa"/>
                  <w:tcMar>
                    <w:top w:w="0" w:type="dxa"/>
                    <w:left w:w="108" w:type="dxa"/>
                    <w:bottom w:w="0" w:type="dxa"/>
                    <w:right w:w="108" w:type="dxa"/>
                  </w:tcMar>
                  <w:vAlign w:val="center"/>
                </w:tcPr>
                <w:p w:rsidR="001C72DB" w:rsidRDefault="005E5A38" w14:paraId="454B6955" w14:textId="2C978E84">
                  <w:pPr>
                    <w:jc w:val="center"/>
                  </w:pPr>
                  <w:r w:rsidRPr="248EE896">
                    <w:rPr>
                      <w:rFonts w:cs="Calibri Light"/>
                      <w:b/>
                      <w:bCs/>
                      <w:i/>
                      <w:iCs/>
                      <w:color w:val="9ACA3C"/>
                      <w:sz w:val="32"/>
                      <w:szCs w:val="32"/>
                      <w:lang w:val="es-ES"/>
                    </w:rPr>
                    <w:t>Preservar el capital natural y reforzar la adaptación al cambio climático del Sudoe</w:t>
                  </w:r>
                </w:p>
              </w:tc>
            </w:tr>
          </w:tbl>
          <w:p w:rsidRPr="005E5A38" w:rsidR="001C72DB" w:rsidRDefault="001C72DB" w14:paraId="2AD9FA5F" w14:textId="77777777">
            <w:pPr>
              <w:jc w:val="center"/>
              <w:rPr>
                <w:rFonts w:cs="Calibri Light"/>
                <w:b/>
                <w:bCs/>
                <w:i/>
                <w:iCs/>
                <w:sz w:val="24"/>
                <w:szCs w:val="28"/>
                <w:lang w:val="es-ES"/>
              </w:rPr>
            </w:pPr>
          </w:p>
        </w:tc>
      </w:tr>
    </w:tbl>
    <w:p w:rsidR="00A47123" w:rsidRDefault="00A47123" w14:paraId="101AEB52" w14:textId="77777777">
      <w:pPr>
        <w:sectPr w:rsidR="00A47123">
          <w:headerReference w:type="default" r:id="rId13"/>
          <w:pgSz w:w="11906" w:h="16838" w:orient="portrait"/>
          <w:pgMar w:top="238" w:right="720" w:bottom="720" w:left="238" w:header="680" w:footer="284" w:gutter="0"/>
          <w:cols w:space="720"/>
        </w:sectPr>
      </w:pPr>
    </w:p>
    <w:p w:rsidR="001C72DB" w:rsidRDefault="00A47123" w14:paraId="73C26B3F" w14:textId="77777777">
      <w:pPr>
        <w:spacing w:before="0" w:after="0"/>
        <w:jc w:val="center"/>
        <w:rPr>
          <w:b/>
          <w:bCs/>
          <w:sz w:val="24"/>
          <w:szCs w:val="28"/>
          <w:lang w:val="fr-FR"/>
        </w:rPr>
      </w:pPr>
      <w:r>
        <w:rPr>
          <w:b/>
          <w:bCs/>
          <w:sz w:val="24"/>
          <w:szCs w:val="28"/>
        </w:rPr>
        <w:lastRenderedPageBreak/>
        <w:t>ÍNDICE</w:t>
      </w:r>
    </w:p>
    <w:p w:rsidR="00DA08C0" w:rsidRDefault="00A47123" w14:paraId="207AAADB" w14:textId="26C1F55F">
      <w:pPr>
        <w:pStyle w:val="TDC1"/>
        <w:tabs>
          <w:tab w:val="left" w:pos="66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r>
        <w:rPr>
          <w:rFonts w:ascii="Calibri Light" w:hAnsi="Calibri Light" w:cs="Times New Roman"/>
          <w:b w:val="0"/>
          <w:bCs w:val="0"/>
          <w:i w:val="0"/>
          <w:iCs w:val="0"/>
          <w:sz w:val="22"/>
        </w:rPr>
        <w:fldChar w:fldCharType="begin"/>
      </w:r>
      <w:r>
        <w:instrText xml:space="preserve"> TOC \o "1-3" \u \h </w:instrText>
      </w:r>
      <w:r>
        <w:rPr>
          <w:rFonts w:ascii="Calibri Light" w:hAnsi="Calibri Light" w:cs="Times New Roman"/>
          <w:b w:val="0"/>
          <w:bCs w:val="0"/>
          <w:i w:val="0"/>
          <w:iCs w:val="0"/>
          <w:sz w:val="22"/>
        </w:rPr>
        <w:fldChar w:fldCharType="separate"/>
      </w:r>
      <w:hyperlink w:history="1" w:anchor="_Toc233103243">
        <w:r w:rsidRPr="005C6240" w:rsidR="00DA08C0">
          <w:rPr>
            <w:rStyle w:val="Hipervnculo"/>
            <w:noProof/>
          </w:rPr>
          <w:t>A.</w:t>
        </w:r>
        <w:r w:rsidR="00DA08C0">
          <w:rPr>
            <w:rFonts w:asciiTheme="minorHAnsi" w:hAnsiTheme="minorHAnsi" w:eastAsiaTheme="minorEastAsia" w:cstheme="minorBidi"/>
            <w:b w:val="0"/>
            <w:bCs w:val="0"/>
            <w:i w:val="0"/>
            <w:iCs w:val="0"/>
            <w:noProof/>
            <w:kern w:val="2"/>
            <w:lang w:val="fr-FR" w:eastAsia="fr-FR"/>
            <w14:ligatures w14:val="standardContextual"/>
          </w:rPr>
          <w:tab/>
        </w:r>
        <w:r w:rsidRPr="005C6240" w:rsidR="00DA08C0">
          <w:rPr>
            <w:rStyle w:val="Hipervnculo"/>
            <w:noProof/>
          </w:rPr>
          <w:t>Objetivo</w:t>
        </w:r>
        <w:r w:rsidR="00DA08C0">
          <w:rPr>
            <w:noProof/>
          </w:rPr>
          <w:tab/>
        </w:r>
        <w:r w:rsidR="00DA08C0">
          <w:rPr>
            <w:noProof/>
          </w:rPr>
          <w:fldChar w:fldCharType="begin"/>
        </w:r>
        <w:r w:rsidR="00DA08C0">
          <w:rPr>
            <w:noProof/>
          </w:rPr>
          <w:instrText xml:space="preserve"> PAGEREF _Toc233103243 \h </w:instrText>
        </w:r>
        <w:r w:rsidR="00DA08C0">
          <w:rPr>
            <w:noProof/>
          </w:rPr>
        </w:r>
        <w:r w:rsidR="00DA08C0">
          <w:rPr>
            <w:noProof/>
          </w:rPr>
          <w:fldChar w:fldCharType="separate"/>
        </w:r>
        <w:r w:rsidR="005E5A38">
          <w:rPr>
            <w:noProof/>
          </w:rPr>
          <w:t>4</w:t>
        </w:r>
        <w:r w:rsidR="00DA08C0">
          <w:rPr>
            <w:noProof/>
          </w:rPr>
          <w:fldChar w:fldCharType="end"/>
        </w:r>
      </w:hyperlink>
    </w:p>
    <w:p w:rsidR="00DA08C0" w:rsidRDefault="00DA08C0" w14:paraId="1CF9587F" w14:textId="505BA600">
      <w:pPr>
        <w:pStyle w:val="TDC1"/>
        <w:tabs>
          <w:tab w:val="left" w:pos="44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hyperlink w:history="1" w:anchor="_Toc233103244">
        <w:r w:rsidRPr="005C6240">
          <w:rPr>
            <w:rStyle w:val="Hipervnculo"/>
            <w:noProof/>
          </w:rPr>
          <w:t>B.</w:t>
        </w:r>
        <w:r>
          <w:rPr>
            <w:rFonts w:asciiTheme="minorHAnsi" w:hAnsiTheme="minorHAnsi" w:eastAsiaTheme="minorEastAsia" w:cstheme="minorBidi"/>
            <w:b w:val="0"/>
            <w:bCs w:val="0"/>
            <w:i w:val="0"/>
            <w:iCs w:val="0"/>
            <w:noProof/>
            <w:kern w:val="2"/>
            <w:lang w:val="fr-FR" w:eastAsia="fr-FR"/>
            <w14:ligatures w14:val="standardContextual"/>
          </w:rPr>
          <w:tab/>
        </w:r>
        <w:r w:rsidRPr="005C6240">
          <w:rPr>
            <w:rStyle w:val="Hipervnculo"/>
            <w:noProof/>
          </w:rPr>
          <w:t>Recordatorio del protocolo de experimentación piloto</w:t>
        </w:r>
        <w:r>
          <w:rPr>
            <w:noProof/>
          </w:rPr>
          <w:tab/>
        </w:r>
        <w:r>
          <w:rPr>
            <w:noProof/>
          </w:rPr>
          <w:fldChar w:fldCharType="begin"/>
        </w:r>
        <w:r>
          <w:rPr>
            <w:noProof/>
          </w:rPr>
          <w:instrText xml:space="preserve"> PAGEREF _Toc233103244 \h </w:instrText>
        </w:r>
        <w:r>
          <w:rPr>
            <w:noProof/>
          </w:rPr>
        </w:r>
        <w:r>
          <w:rPr>
            <w:noProof/>
          </w:rPr>
          <w:fldChar w:fldCharType="separate"/>
        </w:r>
        <w:r w:rsidR="005E5A38">
          <w:rPr>
            <w:noProof/>
          </w:rPr>
          <w:t>4</w:t>
        </w:r>
        <w:r>
          <w:rPr>
            <w:noProof/>
          </w:rPr>
          <w:fldChar w:fldCharType="end"/>
        </w:r>
      </w:hyperlink>
    </w:p>
    <w:p w:rsidR="00DA08C0" w:rsidRDefault="00DA08C0" w14:paraId="24C4B7CF" w14:textId="74548078">
      <w:pPr>
        <w:pStyle w:val="TDC1"/>
        <w:tabs>
          <w:tab w:val="left" w:pos="44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hyperlink w:history="1" w:anchor="_Toc233103245">
        <w:r w:rsidRPr="005C6240">
          <w:rPr>
            <w:rStyle w:val="Hipervnculo"/>
            <w:noProof/>
          </w:rPr>
          <w:t>C.</w:t>
        </w:r>
        <w:r>
          <w:rPr>
            <w:rFonts w:asciiTheme="minorHAnsi" w:hAnsiTheme="minorHAnsi" w:eastAsiaTheme="minorEastAsia" w:cstheme="minorBidi"/>
            <w:b w:val="0"/>
            <w:bCs w:val="0"/>
            <w:i w:val="0"/>
            <w:iCs w:val="0"/>
            <w:noProof/>
            <w:kern w:val="2"/>
            <w:lang w:val="fr-FR" w:eastAsia="fr-FR"/>
            <w14:ligatures w14:val="standardContextual"/>
          </w:rPr>
          <w:tab/>
        </w:r>
        <w:r w:rsidRPr="005C6240">
          <w:rPr>
            <w:rStyle w:val="Hipervnculo"/>
            <w:noProof/>
          </w:rPr>
          <w:t>Resultados del seguimiento y evaluación de la eficacia de las soluciones implementadas en los experimentos piloto.</w:t>
        </w:r>
        <w:r>
          <w:rPr>
            <w:noProof/>
          </w:rPr>
          <w:tab/>
        </w:r>
        <w:r>
          <w:rPr>
            <w:noProof/>
          </w:rPr>
          <w:fldChar w:fldCharType="begin"/>
        </w:r>
        <w:r>
          <w:rPr>
            <w:noProof/>
          </w:rPr>
          <w:instrText xml:space="preserve"> PAGEREF _Toc233103245 \h </w:instrText>
        </w:r>
        <w:r>
          <w:rPr>
            <w:noProof/>
          </w:rPr>
        </w:r>
        <w:r>
          <w:rPr>
            <w:noProof/>
          </w:rPr>
          <w:fldChar w:fldCharType="separate"/>
        </w:r>
        <w:r w:rsidR="005E5A38">
          <w:rPr>
            <w:noProof/>
          </w:rPr>
          <w:t>5</w:t>
        </w:r>
        <w:r>
          <w:rPr>
            <w:noProof/>
          </w:rPr>
          <w:fldChar w:fldCharType="end"/>
        </w:r>
      </w:hyperlink>
    </w:p>
    <w:p w:rsidR="00DA08C0" w:rsidRDefault="00DA08C0" w14:paraId="29CC5877" w14:textId="483C2AC9">
      <w:pPr>
        <w:pStyle w:val="TDC1"/>
        <w:tabs>
          <w:tab w:val="left" w:pos="66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hyperlink w:history="1" w:anchor="_Toc233103246">
        <w:r w:rsidRPr="005C6240">
          <w:rPr>
            <w:rStyle w:val="Hipervnculo"/>
            <w:noProof/>
          </w:rPr>
          <w:t>D.</w:t>
        </w:r>
        <w:r>
          <w:rPr>
            <w:rFonts w:asciiTheme="minorHAnsi" w:hAnsiTheme="minorHAnsi" w:eastAsiaTheme="minorEastAsia" w:cstheme="minorBidi"/>
            <w:b w:val="0"/>
            <w:bCs w:val="0"/>
            <w:i w:val="0"/>
            <w:iCs w:val="0"/>
            <w:noProof/>
            <w:kern w:val="2"/>
            <w:lang w:val="fr-FR" w:eastAsia="fr-FR"/>
            <w14:ligatures w14:val="standardContextual"/>
          </w:rPr>
          <w:tab/>
        </w:r>
        <w:r w:rsidRPr="005C6240">
          <w:rPr>
            <w:rStyle w:val="Hipervnculo"/>
            <w:noProof/>
          </w:rPr>
          <w:t>Conclusión</w:t>
        </w:r>
        <w:r>
          <w:rPr>
            <w:noProof/>
          </w:rPr>
          <w:tab/>
        </w:r>
        <w:r>
          <w:rPr>
            <w:noProof/>
          </w:rPr>
          <w:fldChar w:fldCharType="begin"/>
        </w:r>
        <w:r>
          <w:rPr>
            <w:noProof/>
          </w:rPr>
          <w:instrText xml:space="preserve"> PAGEREF _Toc233103246 \h </w:instrText>
        </w:r>
        <w:r>
          <w:rPr>
            <w:noProof/>
          </w:rPr>
        </w:r>
        <w:r>
          <w:rPr>
            <w:noProof/>
          </w:rPr>
          <w:fldChar w:fldCharType="separate"/>
        </w:r>
        <w:r w:rsidR="005E5A38">
          <w:rPr>
            <w:noProof/>
          </w:rPr>
          <w:t>5</w:t>
        </w:r>
        <w:r>
          <w:rPr>
            <w:noProof/>
          </w:rPr>
          <w:fldChar w:fldCharType="end"/>
        </w:r>
      </w:hyperlink>
    </w:p>
    <w:p w:rsidR="000264DA" w:rsidRDefault="00A47123" w14:paraId="15C01597" w14:textId="2522F1F3">
      <w:pPr>
        <w:rPr>
          <w:rFonts w:ascii="Calibri" w:hAnsi="Calibri" w:cs="Calibri"/>
          <w:b/>
          <w:bCs/>
          <w:i/>
          <w:iCs/>
          <w:sz w:val="24"/>
        </w:rPr>
      </w:pPr>
      <w:r>
        <w:rPr>
          <w:rFonts w:ascii="Calibri" w:hAnsi="Calibri" w:cs="Calibri"/>
          <w:b/>
          <w:bCs/>
          <w:i/>
          <w:iCs/>
          <w:sz w:val="24"/>
        </w:rPr>
        <w:fldChar w:fldCharType="end"/>
      </w:r>
    </w:p>
    <w:p w:rsidR="000264DA" w:rsidRDefault="000264DA" w14:paraId="48A8BA0A" w14:textId="77777777">
      <w:pPr>
        <w:suppressAutoHyphens w:val="0"/>
        <w:spacing w:before="0" w:after="0"/>
        <w:jc w:val="left"/>
        <w:rPr>
          <w:rFonts w:ascii="Calibri" w:hAnsi="Calibri" w:cs="Calibri"/>
          <w:b/>
          <w:bCs/>
          <w:i/>
          <w:iCs/>
          <w:sz w:val="24"/>
        </w:rPr>
      </w:pPr>
      <w:r>
        <w:rPr>
          <w:rFonts w:ascii="Calibri" w:hAnsi="Calibri" w:cs="Calibri"/>
          <w:b/>
          <w:bCs/>
          <w:i/>
          <w:iCs/>
          <w:sz w:val="24"/>
        </w:rPr>
        <w:br w:type="page"/>
      </w:r>
    </w:p>
    <w:p w:rsidR="001C72DB" w:rsidRDefault="00A47123" w14:paraId="4348189F" w14:textId="77777777">
      <w:pPr>
        <w:pStyle w:val="Ttulo1"/>
      </w:pPr>
      <w:bookmarkStart w:name="_Toc185844185" w:id="0"/>
      <w:bookmarkStart w:name="_Toc233103243" w:id="1"/>
      <w:r>
        <w:lastRenderedPageBreak/>
        <w:t>Objetivo</w:t>
      </w:r>
      <w:bookmarkEnd w:id="0"/>
      <w:bookmarkEnd w:id="1"/>
    </w:p>
    <w:p w:rsidRPr="00734D6F" w:rsidR="001C72DB" w:rsidRDefault="00A47123" w14:paraId="3FE55AA0" w14:textId="77777777">
      <w:pPr>
        <w:rPr>
          <w:lang w:val="es-ES"/>
        </w:rPr>
      </w:pPr>
      <w:r>
        <w:t>Esta actividad, A.2.3 Monitorización continua de alta precisión, forma parte del segundo grupo de trabajo del proyecto (Pruebas Piloto y Evaluación Integral).</w:t>
      </w:r>
    </w:p>
    <w:p w:rsidRPr="005E5A38" w:rsidR="001C72DB" w:rsidRDefault="00A47123" w14:paraId="5CD27999" w14:textId="77777777">
      <w:pPr>
        <w:rPr>
          <w:lang w:val="es-ES"/>
        </w:rPr>
      </w:pPr>
      <w:r>
        <w:t xml:space="preserve">El objetivo de esta actividad es supervisar los experimentos piloto implementados en el marco del proyecto y evaluar la eficacia de las diferentes soluciones probadas frente al riesgo de heladas primaverales. </w:t>
      </w:r>
    </w:p>
    <w:p w:rsidRPr="005E5A38" w:rsidR="001C72DB" w:rsidRDefault="00A47123" w14:paraId="118FDBBF" w14:textId="77777777">
      <w:pPr>
        <w:rPr>
          <w:lang w:val="es-ES"/>
        </w:rPr>
      </w:pPr>
      <w:r>
        <w:t xml:space="preserve">Los datos recogidos en los diferentes centros de estudio serán compartidos entre los socios para fomentar una comprensión común de los resultados y facilitar la transferencia de soluciones a otras culturas, territorios y contextos climáticos en el espacio SUDOE. </w:t>
      </w:r>
    </w:p>
    <w:p w:rsidRPr="005E5A38" w:rsidR="001C72DB" w:rsidRDefault="00A47123" w14:paraId="56EDD6D9" w14:textId="77777777">
      <w:pPr>
        <w:rPr>
          <w:lang w:val="es-ES"/>
        </w:rPr>
      </w:pPr>
      <w:r>
        <w:t>Este entregable reúne los datos y observaciones de los experimentos realizados durante el proyecto y constituye una base para su análisis y futura valoración.</w:t>
      </w:r>
    </w:p>
    <w:p w:rsidRPr="005E5A38" w:rsidR="001C72DB" w:rsidRDefault="001C72DB" w14:paraId="7D581FF7" w14:textId="77777777">
      <w:pPr>
        <w:rPr>
          <w:lang w:val="es-ES"/>
        </w:rPr>
      </w:pPr>
    </w:p>
    <w:p w:rsidR="001C72DB" w:rsidRDefault="00A47123" w14:paraId="38CF3E77" w14:textId="77777777">
      <w:pPr>
        <w:pStyle w:val="Ttulo1"/>
      </w:pPr>
      <w:bookmarkStart w:name="_Toc233103244" w:id="2"/>
      <w:r>
        <w:t>Recordatorio del protocolo de experimentación piloto</w:t>
      </w:r>
      <w:bookmarkEnd w:id="2"/>
      <w:r>
        <w:t xml:space="preserve">  </w:t>
      </w:r>
    </w:p>
    <w:p w:rsidR="00C46758" w:rsidP="10803D59" w:rsidRDefault="00A47123" w14:paraId="4677095F" w14:textId="689AECB8">
      <w:pPr>
        <w:rPr>
          <w:rFonts w:ascii="Calibri" w:hAnsi="Calibri" w:cs="Calibri"/>
          <w:i w:val="1"/>
          <w:iCs w:val="1"/>
          <w:lang w:val="es-ES" w:eastAsia="fr-FR"/>
        </w:rPr>
      </w:pPr>
      <w:r w:rsidRPr="10803D59" w:rsidR="00A47123">
        <w:rPr>
          <w:lang w:val="es-ES"/>
        </w:rPr>
        <w:t xml:space="preserve">Como parte del proyecto </w:t>
      </w:r>
      <w:r w:rsidRPr="10803D59" w:rsidR="00A47123">
        <w:rPr>
          <w:lang w:val="es-ES"/>
        </w:rPr>
        <w:t>An</w:t>
      </w:r>
      <w:r w:rsidRPr="10803D59" w:rsidR="00A47123">
        <w:rPr>
          <w:lang w:val="es-ES"/>
        </w:rPr>
        <w:t xml:space="preserve">-GEL, </w:t>
      </w:r>
      <w:r w:rsidRPr="10803D59" w:rsidR="00C46758">
        <w:rPr>
          <w:lang w:val="es-ES"/>
        </w:rPr>
        <w:t xml:space="preserve">NEIKER ha realizado un ensayo de fechas de poda con el objetivo </w:t>
      </w:r>
      <w:r w:rsidRPr="10803D59" w:rsidR="00C46758">
        <w:rPr>
          <w:lang w:val="es-ES"/>
        </w:rPr>
        <w:t>de</w:t>
      </w:r>
      <w:r w:rsidRPr="10803D59" w:rsidR="00C46758">
        <w:rPr>
          <w:lang w:val="es-ES"/>
        </w:rPr>
        <w:t xml:space="preserve"> estudiar la incidencia que las podas tardías tienen sobre la fenología del cultivo, sobre todo para evaluar si se retrasan las fases iniciales del cultivo de cara a evitar el riesgo de heladas. Además, se pretend</w:t>
      </w:r>
      <w:r w:rsidRPr="10803D59" w:rsidR="00C46758">
        <w:rPr>
          <w:lang w:val="es-ES"/>
        </w:rPr>
        <w:t>ía</w:t>
      </w:r>
      <w:r w:rsidRPr="10803D59" w:rsidR="00C46758">
        <w:rPr>
          <w:lang w:val="es-ES"/>
        </w:rPr>
        <w:t xml:space="preserve"> estudiar la incidencia de las fechas de poda sobre la producción y calidad de la uva.</w:t>
      </w:r>
    </w:p>
    <w:p w:rsidR="00BE02AB" w:rsidP="00C46758" w:rsidRDefault="00C46758" w14:paraId="16F5F3F2" w14:textId="2631C23D">
      <w:r w:rsidRPr="10803D59" w:rsidR="00C46758">
        <w:rPr>
          <w:lang w:val="es-ES"/>
        </w:rPr>
        <w:t>Para ello s</w:t>
      </w:r>
      <w:r w:rsidRPr="10803D59" w:rsidR="00C46758">
        <w:rPr>
          <w:lang w:val="es-ES"/>
        </w:rPr>
        <w:t xml:space="preserve">e realizó un ensayo en Samaniego (Álava/Araba) en un viñedo de la DO Ca Rioja en la comarca de Rioja Alavesa, en una finca de la bodega </w:t>
      </w:r>
      <w:r w:rsidRPr="10803D59" w:rsidR="00C46758">
        <w:rPr>
          <w:lang w:val="es-ES"/>
        </w:rPr>
        <w:t>Ostatu</w:t>
      </w:r>
      <w:r w:rsidRPr="10803D59" w:rsidR="00C46758">
        <w:rPr>
          <w:lang w:val="es-ES"/>
        </w:rPr>
        <w:t xml:space="preserve"> cuyas cepas son de la variedad Tempranillo injertadas sobre Richter 110, y se plantaron en 20</w:t>
      </w:r>
      <w:r w:rsidRPr="10803D59" w:rsidR="00C46758">
        <w:rPr>
          <w:lang w:val="es-ES"/>
        </w:rPr>
        <w:t>0</w:t>
      </w:r>
      <w:r w:rsidRPr="10803D59" w:rsidR="00C46758">
        <w:rPr>
          <w:lang w:val="es-ES"/>
        </w:rPr>
        <w:t xml:space="preserve">2. La producción de dicha finca está certificada bajo el sello de producción ecológica. </w:t>
      </w:r>
      <w:r w:rsidRPr="10803D59" w:rsidR="00C46758">
        <w:rPr>
          <w:lang w:val="es-ES"/>
        </w:rPr>
        <w:t xml:space="preserve">El ensayo comenzó en </w:t>
      </w:r>
      <w:r w:rsidRPr="10803D59" w:rsidR="00BE02AB">
        <w:rPr>
          <w:lang w:val="es-ES"/>
        </w:rPr>
        <w:t xml:space="preserve">invierno de </w:t>
      </w:r>
      <w:r w:rsidRPr="10803D59" w:rsidR="00C46758">
        <w:rPr>
          <w:lang w:val="es-ES"/>
        </w:rPr>
        <w:t xml:space="preserve">2020 </w:t>
      </w:r>
      <w:r w:rsidRPr="10803D59" w:rsidR="00C46758">
        <w:rPr>
          <w:lang w:val="es-ES"/>
        </w:rPr>
        <w:t>y</w:t>
      </w:r>
      <w:r w:rsidRPr="10803D59" w:rsidR="00C46758">
        <w:rPr>
          <w:lang w:val="es-ES"/>
        </w:rPr>
        <w:t xml:space="preserve"> inicialmente s</w:t>
      </w:r>
      <w:r w:rsidRPr="10803D59" w:rsidR="00C46758">
        <w:rPr>
          <w:lang w:val="es-ES"/>
        </w:rPr>
        <w:t xml:space="preserve">e probaron </w:t>
      </w:r>
      <w:r w:rsidRPr="10803D59" w:rsidR="00C46758">
        <w:rPr>
          <w:lang w:val="es-ES"/>
        </w:rPr>
        <w:t>cinco</w:t>
      </w:r>
      <w:r w:rsidRPr="10803D59" w:rsidR="00C46758">
        <w:rPr>
          <w:lang w:val="es-ES"/>
        </w:rPr>
        <w:t xml:space="preserve"> fechas de poda distintas</w:t>
      </w:r>
      <w:r w:rsidRPr="10803D59" w:rsidR="00BE02AB">
        <w:rPr>
          <w:lang w:val="es-ES"/>
        </w:rPr>
        <w:t xml:space="preserve"> durante las campañas 2021 y 2022</w:t>
      </w:r>
      <w:r w:rsidRPr="10803D59" w:rsidR="00C46758">
        <w:rPr>
          <w:lang w:val="es-ES"/>
        </w:rPr>
        <w:t xml:space="preserve">: diciembre, enero, febrero, marzo, </w:t>
      </w:r>
      <w:r w:rsidRPr="10803D59" w:rsidR="00C46758">
        <w:rPr>
          <w:lang w:val="es-ES"/>
        </w:rPr>
        <w:t xml:space="preserve">y </w:t>
      </w:r>
      <w:r w:rsidRPr="10803D59" w:rsidR="00C46758">
        <w:rPr>
          <w:lang w:val="es-ES"/>
        </w:rPr>
        <w:t>abril. Para determinar el estado fenológico, se utilizó la escala de [</w:t>
      </w:r>
      <w:r>
        <w:fldChar w:fldCharType="begin"/>
      </w:r>
      <w:r>
        <w:instrText xml:space="preserve"> REF _Ref198286289 \n \h </w:instrText>
      </w:r>
      <w:r>
        <w:fldChar w:fldCharType="separate"/>
      </w:r>
      <w:r w:rsidRPr="10803D59" w:rsidR="00C46758">
        <w:rPr>
          <w:lang w:val="es-ES"/>
        </w:rPr>
        <w:t>7</w:t>
      </w:r>
      <w:r w:rsidRPr="10803D59">
        <w:rPr>
          <w:lang w:val="en-GB"/>
        </w:rPr>
        <w:fldChar w:fldCharType="end"/>
      </w:r>
      <w:r w:rsidRPr="10803D59" w:rsidR="00C46758">
        <w:rPr>
          <w:lang w:val="es-ES"/>
        </w:rPr>
        <w:t>] que modificaba la creada por [</w:t>
      </w:r>
      <w:r>
        <w:fldChar w:fldCharType="begin"/>
      </w:r>
      <w:r>
        <w:instrText xml:space="preserve"> REF _Ref198286308 \n \h </w:instrText>
      </w:r>
      <w:r>
        <w:fldChar w:fldCharType="separate"/>
      </w:r>
      <w:r w:rsidRPr="10803D59" w:rsidR="00C46758">
        <w:rPr>
          <w:lang w:val="es-ES"/>
        </w:rPr>
        <w:t>8</w:t>
      </w:r>
      <w:r w:rsidRPr="10803D59">
        <w:rPr>
          <w:lang w:val="en-GB"/>
        </w:rPr>
        <w:fldChar w:fldCharType="end"/>
      </w:r>
      <w:r w:rsidRPr="10803D59" w:rsidR="00C46758">
        <w:rPr>
          <w:lang w:val="es-ES"/>
        </w:rPr>
        <w:t xml:space="preserve">]. </w:t>
      </w:r>
      <w:r w:rsidRPr="10803D59" w:rsidR="00BE02AB">
        <w:rPr>
          <w:lang w:val="es-ES"/>
        </w:rPr>
        <w:t>A partir del invierno de 2022 se añadieron 2 tratamientos más: poda en noviembre y poda en abril brotación, cuando las</w:t>
      </w:r>
      <w:r w:rsidRPr="10803D59" w:rsidR="00BE02AB">
        <w:rPr>
          <w:lang w:val="es-ES"/>
        </w:rPr>
        <w:t xml:space="preserve"> yemas basales </w:t>
      </w:r>
      <w:r w:rsidRPr="10803D59" w:rsidR="00BE02AB">
        <w:rPr>
          <w:lang w:val="es-ES"/>
        </w:rPr>
        <w:t xml:space="preserve">se encontraban </w:t>
      </w:r>
      <w:r w:rsidRPr="10803D59" w:rsidR="00BE02AB">
        <w:rPr>
          <w:lang w:val="es-ES"/>
        </w:rPr>
        <w:t xml:space="preserve">entre los estados E-L 3 (yema de algodón) y E-L 4 (punta verde) y las apicales entre los estados fenológicos E-L 7 (primera hoja separada del ápice caulinar) y E-L 9 (2-3 hojas separadas) como se aprecia en la </w:t>
      </w:r>
      <w:r>
        <w:fldChar w:fldCharType="begin"/>
      </w:r>
      <w:r>
        <w:instrText xml:space="preserve"> REF _Ref198284134 \h  \* MERGEFORMAT </w:instrText>
      </w:r>
      <w:r>
        <w:fldChar w:fldCharType="separate"/>
      </w:r>
      <w:r w:rsidRPr="10803D59" w:rsidR="00BE02AB">
        <w:rPr>
          <w:lang w:val="es-ES"/>
        </w:rPr>
        <w:t>Figura 1</w:t>
      </w:r>
      <w:r w:rsidRPr="10803D59">
        <w:rPr>
          <w:lang w:val="en-GB"/>
        </w:rPr>
        <w:fldChar w:fldCharType="end"/>
      </w:r>
      <w:r w:rsidRPr="10803D59" w:rsidR="00BE02AB">
        <w:rPr>
          <w:lang w:val="es-ES"/>
        </w:rPr>
        <w:t xml:space="preserve">. Para determinar el estado fenológico, se utilizó la escala de </w:t>
      </w:r>
      <w:r w:rsidRPr="10803D59" w:rsidR="0069250A">
        <w:rPr>
          <w:lang w:val="es-ES"/>
        </w:rPr>
        <w:t>Coombe (1995)</w:t>
      </w:r>
      <w:r w:rsidRPr="10803D59" w:rsidR="00BE02AB">
        <w:rPr>
          <w:lang w:val="es-ES"/>
        </w:rPr>
        <w:t xml:space="preserve"> que modificaba la creada por </w:t>
      </w:r>
      <w:r w:rsidRPr="10803D59" w:rsidR="0069250A">
        <w:rPr>
          <w:lang w:val="es-ES"/>
        </w:rPr>
        <w:t xml:space="preserve">Lorenz </w:t>
      </w:r>
      <w:r w:rsidRPr="10803D59" w:rsidR="0069250A">
        <w:rPr>
          <w:i w:val="1"/>
          <w:iCs w:val="1"/>
          <w:lang w:val="es-ES"/>
        </w:rPr>
        <w:t>et al</w:t>
      </w:r>
      <w:r w:rsidRPr="10803D59" w:rsidR="0069250A">
        <w:rPr>
          <w:lang w:val="es-ES"/>
        </w:rPr>
        <w:t>. (1995)</w:t>
      </w:r>
      <w:r w:rsidRPr="10803D59" w:rsidR="00BE02AB">
        <w:rPr>
          <w:lang w:val="es-ES"/>
        </w:rPr>
        <w:t xml:space="preserve">. </w:t>
      </w:r>
      <w:r w:rsidRPr="10803D59" w:rsidR="00BE02AB">
        <w:rPr>
          <w:lang w:val="es-ES"/>
        </w:rPr>
        <w:t>En todos los tratamientos excepto abril brotación, s</w:t>
      </w:r>
      <w:r w:rsidRPr="10803D59" w:rsidR="00BE02AB">
        <w:rPr>
          <w:lang w:val="es-ES"/>
        </w:rPr>
        <w:t>e intentó podar la primera semana del mes o justo al final del mes anterior.</w:t>
      </w:r>
      <w:r w:rsidRPr="10803D59" w:rsidR="00BE02AB">
        <w:rPr>
          <w:lang w:val="es-ES"/>
        </w:rPr>
        <w:t xml:space="preserve"> </w:t>
      </w:r>
    </w:p>
    <w:p w:rsidRPr="00686A2E" w:rsidR="00BE02AB" w:rsidP="00C46758" w:rsidRDefault="00BE02AB" w14:paraId="5C0EDDA6" w14:textId="26B7ACA2">
      <w:r>
        <w:t xml:space="preserve">Cabe destacar que este ensayo comenzó en el marco del proyecto POCTEFA VITISAD (2019-2022) y que gracias al proyecto AN-GEL se le ha podido dar la continuidad necesaria en los ensayos de campo en que es indispensable </w:t>
      </w:r>
      <w:r w:rsidR="0069250A">
        <w:t>evaluar los resultados en función de distintas campañas climáticas.</w:t>
      </w:r>
    </w:p>
    <w:p w:rsidRPr="00686A2E" w:rsidR="00C46758" w:rsidP="00C46758" w:rsidRDefault="00C46758" w14:paraId="4317255A" w14:textId="77777777"/>
    <w:p w:rsidRPr="00686A2E" w:rsidR="00C46758" w:rsidP="00C46758" w:rsidRDefault="00C46758" w14:paraId="6A00D804" w14:textId="77777777">
      <w:pPr>
        <w:rPr>
          <w:lang w:val="es-ES"/>
        </w:rPr>
      </w:pPr>
      <w:r w:rsidRPr="00686A2E">
        <w:rPr>
          <w:noProof/>
          <w:lang w:val="es-ES"/>
        </w:rPr>
        <w:lastRenderedPageBreak/>
        <w:drawing>
          <wp:inline distT="0" distB="0" distL="0" distR="0" wp14:anchorId="77526335" wp14:editId="2EB4ECBA">
            <wp:extent cx="2914650" cy="4584700"/>
            <wp:effectExtent l="19050" t="19050" r="19050" b="25400"/>
            <wp:docPr id="92376186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914650" cy="4584700"/>
                    </a:xfrm>
                    <a:prstGeom prst="rect">
                      <a:avLst/>
                    </a:prstGeom>
                    <a:noFill/>
                    <a:ln>
                      <a:solidFill>
                        <a:schemeClr val="tx1"/>
                      </a:solidFill>
                    </a:ln>
                  </pic:spPr>
                </pic:pic>
              </a:graphicData>
            </a:graphic>
          </wp:inline>
        </w:drawing>
      </w:r>
    </w:p>
    <w:p w:rsidRPr="009479B6" w:rsidR="00C46758" w:rsidP="0069250A" w:rsidRDefault="00C46758" w14:paraId="3D6C07FD" w14:textId="507CA47B">
      <w:pPr>
        <w:pStyle w:val="Ttulo5"/>
        <w:numPr>
          <w:ilvl w:val="0"/>
          <w:numId w:val="0"/>
        </w:numPr>
        <w:pBdr>
          <w:bottom w:val="none" w:color="auto" w:sz="0" w:space="0"/>
        </w:pBdr>
        <w:rPr>
          <w:b w:val="0"/>
          <w:bCs w:val="0"/>
        </w:rPr>
      </w:pPr>
      <w:bookmarkStart w:name="_Ref198284134" w:id="3"/>
      <w:r w:rsidRPr="00686A2E">
        <w:t xml:space="preserve">Figura </w:t>
      </w:r>
      <w:r w:rsidRPr="00686A2E">
        <w:fldChar w:fldCharType="begin"/>
      </w:r>
      <w:r w:rsidRPr="00686A2E">
        <w:instrText xml:space="preserve"> SEQ Figura \* ARABIC </w:instrText>
      </w:r>
      <w:r w:rsidRPr="00686A2E">
        <w:fldChar w:fldCharType="separate"/>
      </w:r>
      <w:r w:rsidR="000F2793">
        <w:rPr>
          <w:noProof/>
        </w:rPr>
        <w:t>1</w:t>
      </w:r>
      <w:r w:rsidRPr="00686A2E">
        <w:rPr>
          <w:lang w:val="en-GB"/>
        </w:rPr>
        <w:fldChar w:fldCharType="end"/>
      </w:r>
      <w:bookmarkEnd w:id="3"/>
      <w:r w:rsidRPr="00686A2E">
        <w:t xml:space="preserve"> </w:t>
      </w:r>
      <w:r w:rsidRPr="009479B6">
        <w:rPr>
          <w:b w:val="0"/>
          <w:bCs w:val="0"/>
        </w:rPr>
        <w:t>Estado en el que se encontraba</w:t>
      </w:r>
      <w:r>
        <w:rPr>
          <w:b w:val="0"/>
          <w:bCs w:val="0"/>
        </w:rPr>
        <w:t>n</w:t>
      </w:r>
      <w:r w:rsidRPr="009479B6">
        <w:rPr>
          <w:b w:val="0"/>
          <w:bCs w:val="0"/>
        </w:rPr>
        <w:t xml:space="preserve"> la</w:t>
      </w:r>
      <w:r>
        <w:rPr>
          <w:b w:val="0"/>
          <w:bCs w:val="0"/>
        </w:rPr>
        <w:t>s</w:t>
      </w:r>
      <w:r w:rsidRPr="009479B6">
        <w:rPr>
          <w:b w:val="0"/>
          <w:bCs w:val="0"/>
        </w:rPr>
        <w:t xml:space="preserve"> cepa</w:t>
      </w:r>
      <w:r>
        <w:rPr>
          <w:b w:val="0"/>
          <w:bCs w:val="0"/>
        </w:rPr>
        <w:t>s</w:t>
      </w:r>
      <w:r w:rsidRPr="009479B6">
        <w:rPr>
          <w:b w:val="0"/>
          <w:bCs w:val="0"/>
        </w:rPr>
        <w:t xml:space="preserve"> en el momento de la poda de abril brotación que ser realizó el 11 de abril de 2024.</w:t>
      </w:r>
    </w:p>
    <w:p w:rsidRPr="00686A2E" w:rsidR="00C46758" w:rsidP="00C46758" w:rsidRDefault="00C46758" w14:paraId="747B5C62" w14:textId="77777777">
      <w:pPr>
        <w:rPr>
          <w:lang w:val="es-ES"/>
        </w:rPr>
      </w:pPr>
    </w:p>
    <w:p w:rsidRPr="00686A2E" w:rsidR="00C46758" w:rsidP="00C46758" w:rsidRDefault="00C46758" w14:paraId="3B9415E3" w14:textId="77777777">
      <w:r w:rsidRPr="00686A2E">
        <w:t xml:space="preserve">En la </w:t>
      </w:r>
      <w:r w:rsidRPr="00686A2E">
        <w:fldChar w:fldCharType="begin"/>
      </w:r>
      <w:r w:rsidRPr="00686A2E">
        <w:instrText xml:space="preserve"> REF _Ref198134196 \h  \* MERGEFORMAT </w:instrText>
      </w:r>
      <w:r w:rsidRPr="00686A2E">
        <w:fldChar w:fldCharType="separate"/>
      </w:r>
      <w:r w:rsidRPr="00C36D85">
        <w:t>Figura 2</w:t>
      </w:r>
      <w:r w:rsidRPr="00686A2E">
        <w:rPr>
          <w:lang w:val="en-GB"/>
        </w:rPr>
        <w:fldChar w:fldCharType="end"/>
      </w:r>
      <w:r w:rsidRPr="00686A2E">
        <w:t xml:space="preserve"> se observa el estado fenológico de cada tratamiento el 17 de abril de 2024.</w:t>
      </w:r>
    </w:p>
    <w:p w:rsidRPr="00686A2E" w:rsidR="00C46758" w:rsidP="00C46758" w:rsidRDefault="00C46758" w14:paraId="3B1869BA" w14:textId="77777777"/>
    <w:p w:rsidRPr="00686A2E" w:rsidR="00C46758" w:rsidP="00C46758" w:rsidRDefault="00C46758" w14:paraId="329CCA41" w14:textId="77777777">
      <w:pPr>
        <w:rPr>
          <w:lang w:val="es-ES"/>
        </w:rPr>
      </w:pPr>
      <w:r w:rsidRPr="00686A2E">
        <w:rPr>
          <w:noProof/>
          <w:lang w:val="es-ES"/>
        </w:rPr>
        <w:lastRenderedPageBreak/>
        <w:drawing>
          <wp:inline distT="0" distB="0" distL="0" distR="0" wp14:anchorId="6DEA7ACD" wp14:editId="57760581">
            <wp:extent cx="2951480" cy="2951480"/>
            <wp:effectExtent l="19050" t="19050" r="20320" b="20320"/>
            <wp:docPr id="327600248" name="Imagen 8" descr="Una captura de un videojueg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00248" name="Imagen 8" descr="Una captura de un videojuego&#10;&#10;El contenido generado por IA puede ser incorrecto."/>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951480" cy="2951480"/>
                    </a:xfrm>
                    <a:prstGeom prst="rect">
                      <a:avLst/>
                    </a:prstGeom>
                    <a:noFill/>
                    <a:ln>
                      <a:solidFill>
                        <a:schemeClr val="tx1"/>
                      </a:solidFill>
                    </a:ln>
                  </pic:spPr>
                </pic:pic>
              </a:graphicData>
            </a:graphic>
          </wp:inline>
        </w:drawing>
      </w:r>
    </w:p>
    <w:p w:rsidRPr="009479B6" w:rsidR="00C46758" w:rsidP="00BE02AB" w:rsidRDefault="00C46758" w14:paraId="4407F69B" w14:textId="02E68DBE">
      <w:pPr>
        <w:pStyle w:val="Ttulo5"/>
        <w:numPr>
          <w:ilvl w:val="0"/>
          <w:numId w:val="0"/>
        </w:numPr>
        <w:ind w:left="1008" w:hanging="1008"/>
        <w:rPr>
          <w:b w:val="0"/>
          <w:bCs w:val="0"/>
          <w:lang w:val="es-ES_tradnl"/>
        </w:rPr>
      </w:pPr>
      <w:bookmarkStart w:name="_Ref198134196" w:id="4"/>
      <w:r w:rsidRPr="00686A2E">
        <w:t xml:space="preserve">Figura </w:t>
      </w:r>
      <w:r w:rsidRPr="00686A2E">
        <w:fldChar w:fldCharType="begin"/>
      </w:r>
      <w:r w:rsidRPr="00686A2E">
        <w:instrText xml:space="preserve"> SEQ Figura \* ARABIC </w:instrText>
      </w:r>
      <w:r w:rsidRPr="00686A2E">
        <w:fldChar w:fldCharType="separate"/>
      </w:r>
      <w:r w:rsidR="000F2793">
        <w:rPr>
          <w:noProof/>
        </w:rPr>
        <w:t>2</w:t>
      </w:r>
      <w:r w:rsidRPr="00686A2E">
        <w:rPr>
          <w:lang w:val="en-GB"/>
        </w:rPr>
        <w:fldChar w:fldCharType="end"/>
      </w:r>
      <w:bookmarkEnd w:id="4"/>
      <w:r w:rsidRPr="00686A2E">
        <w:t xml:space="preserve"> </w:t>
      </w:r>
      <w:r w:rsidRPr="009479B6">
        <w:rPr>
          <w:b w:val="0"/>
          <w:bCs w:val="0"/>
        </w:rPr>
        <w:t>Estado fenológico de cada tratamiento el 17 de abril de 2024 en el ensayo de poda realizado en Samaniego.</w:t>
      </w:r>
    </w:p>
    <w:p w:rsidRPr="00686A2E" w:rsidR="00C46758" w:rsidP="00C46758" w:rsidRDefault="00C46758" w14:paraId="008C6DBB" w14:textId="77777777"/>
    <w:p w:rsidRPr="00686A2E" w:rsidR="00C46758" w:rsidP="00C46758" w:rsidRDefault="00C46758" w14:paraId="265A551C" w14:textId="31F6D5AA">
      <w:r w:rsidRPr="20AC5A9D" w:rsidR="00C46758">
        <w:rPr>
          <w:lang w:val="es-ES"/>
        </w:rPr>
        <w:t>Se diseñó un ensayo en bloques al azar con cuatro repeticiones y en cada parcela elemental había 10 cepas</w:t>
      </w:r>
      <w:r w:rsidRPr="20AC5A9D" w:rsidR="00C46758">
        <w:rPr>
          <w:lang w:val="es-ES"/>
        </w:rPr>
        <w:t>.</w:t>
      </w:r>
      <w:r w:rsidRPr="20AC5A9D" w:rsidR="00C46758">
        <w:rPr>
          <w:lang w:val="es-ES"/>
        </w:rPr>
        <w:t xml:space="preserve"> Posteriormente se determinaron los siguientes estados fenológicos en la</w:t>
      </w:r>
      <w:r w:rsidRPr="20AC5A9D" w:rsidR="0069250A">
        <w:rPr>
          <w:lang w:val="es-ES"/>
        </w:rPr>
        <w:t>s</w:t>
      </w:r>
      <w:r w:rsidRPr="20AC5A9D" w:rsidR="00C46758">
        <w:rPr>
          <w:lang w:val="es-ES"/>
        </w:rPr>
        <w:t xml:space="preserve"> campaña</w:t>
      </w:r>
      <w:r w:rsidRPr="20AC5A9D" w:rsidR="0069250A">
        <w:rPr>
          <w:lang w:val="es-ES"/>
        </w:rPr>
        <w:t>s</w:t>
      </w:r>
      <w:r w:rsidRPr="20AC5A9D" w:rsidR="00C46758">
        <w:rPr>
          <w:lang w:val="es-ES"/>
        </w:rPr>
        <w:t xml:space="preserve"> </w:t>
      </w:r>
      <w:r w:rsidRPr="20AC5A9D" w:rsidR="0069250A">
        <w:rPr>
          <w:lang w:val="es-ES"/>
        </w:rPr>
        <w:t xml:space="preserve">2021, </w:t>
      </w:r>
      <w:r w:rsidRPr="20AC5A9D" w:rsidR="00C46758">
        <w:rPr>
          <w:lang w:val="es-ES"/>
        </w:rPr>
        <w:t>2024</w:t>
      </w:r>
      <w:r w:rsidRPr="20AC5A9D" w:rsidR="0069250A">
        <w:rPr>
          <w:lang w:val="es-ES"/>
        </w:rPr>
        <w:t xml:space="preserve"> y 2025</w:t>
      </w:r>
      <w:r w:rsidRPr="20AC5A9D" w:rsidR="00C46758">
        <w:rPr>
          <w:lang w:val="es-ES"/>
        </w:rPr>
        <w:t xml:space="preserve">: brotación, floración y envero. Para ello se controlaron 3 cepas de cada parcela elemental y se observó el estado fenológico de la yema superior de todos los pulgares de cada cepa, cuyo sistema de formación es en espaldera con poda en cordón </w:t>
      </w:r>
      <w:r w:rsidRPr="20AC5A9D" w:rsidR="00C46758">
        <w:rPr>
          <w:lang w:val="es-ES"/>
        </w:rPr>
        <w:t>Royat</w:t>
      </w:r>
      <w:r w:rsidRPr="20AC5A9D" w:rsidR="00C46758">
        <w:rPr>
          <w:lang w:val="es-ES"/>
        </w:rPr>
        <w:t xml:space="preserve"> doble, habitualmente con 6 pulgares a 2 yemas. Se consideraba envero cuándo más del 50% de las uvas estaba en ese estado. Posteriormente se realizaron seguimientos de maduración analizando grado alcohólico probable, y acidez total tartárica. Para ello se tomaron 72 bayas/muestra de las 3 cepas control</w:t>
      </w:r>
      <w:r w:rsidRPr="20AC5A9D" w:rsidR="00C46758">
        <w:rPr>
          <w:lang w:val="es-ES"/>
        </w:rPr>
        <w:t xml:space="preserve"> de cada parcela elemental</w:t>
      </w:r>
      <w:r w:rsidRPr="20AC5A9D" w:rsidR="00C46758">
        <w:rPr>
          <w:lang w:val="es-ES"/>
        </w:rPr>
        <w:t>.</w:t>
      </w:r>
    </w:p>
    <w:p w:rsidRPr="00686A2E" w:rsidR="00C46758" w:rsidP="00C46758" w:rsidRDefault="00C46758" w14:paraId="727FD329" w14:textId="77777777">
      <w:r w:rsidRPr="00686A2E">
        <w:t>En el momento de la vendimia se midió producción y número de racimos de todas las cepas de cada parcela elemental. Además, se procesó toda la producción de cada parcela elemental (despalillado y estrujado de racimos), tomando muestras para analizar grado alcohólico probable, acidez total tartárica, y nitrógeno fácilmente asimilable del mosto en todos los tratamientos. También se midió el peso de la poda y el número de sarmientos en todos los tratamientos.</w:t>
      </w:r>
    </w:p>
    <w:p w:rsidR="00C46758" w:rsidP="00C46758" w:rsidRDefault="00C46758" w14:paraId="2CD4B5E2" w14:textId="77777777">
      <w:r w:rsidRPr="20AC5A9D" w:rsidR="00C46758">
        <w:rPr>
          <w:lang w:val="es-ES"/>
        </w:rPr>
        <w:t xml:space="preserve">Se realizaron análisis de varianza para evaluar las diferencias entre tratamientos y </w:t>
      </w:r>
      <w:r w:rsidRPr="20AC5A9D" w:rsidR="00C46758">
        <w:rPr>
          <w:lang w:val="es-ES"/>
        </w:rPr>
        <w:t>el test</w:t>
      </w:r>
      <w:r w:rsidRPr="20AC5A9D" w:rsidR="00C46758">
        <w:rPr>
          <w:lang w:val="es-ES"/>
        </w:rPr>
        <w:t xml:space="preserve"> de separación de medias de Duncan para comprobar diferencias entre medias.</w:t>
      </w:r>
    </w:p>
    <w:p w:rsidRPr="00CC25E8" w:rsidR="00CC25E8" w:rsidP="00C46758" w:rsidRDefault="00CC25E8" w14:paraId="71FA48FE" w14:textId="1A490487">
      <w:pPr>
        <w:rPr>
          <w:b/>
          <w:bCs/>
        </w:rPr>
      </w:pPr>
      <w:r w:rsidRPr="00CC25E8">
        <w:rPr>
          <w:b/>
          <w:bCs/>
        </w:rPr>
        <w:t>Referencias bibliográficas</w:t>
      </w:r>
    </w:p>
    <w:p w:rsidRPr="00686A2E" w:rsidR="00CC25E8" w:rsidP="00CC25E8" w:rsidRDefault="00CC25E8" w14:paraId="0DB3AF43" w14:textId="77777777">
      <w:pPr>
        <w:autoSpaceDE w:val="0"/>
        <w:autoSpaceDN/>
        <w:spacing w:before="120" w:after="0"/>
        <w:textAlignment w:val="auto"/>
        <w:rPr>
          <w:lang w:val="es-ES"/>
        </w:rPr>
      </w:pPr>
      <w:bookmarkStart w:name="_Ref198286289" w:id="5"/>
      <w:r w:rsidRPr="00AF6C62">
        <w:rPr>
          <w:lang w:val="en-US"/>
        </w:rPr>
        <w:t xml:space="preserve">B. G. Coombe. Growth stages of the grapevine. Aust. J. Grape and Wine Res. </w:t>
      </w:r>
      <w:r w:rsidRPr="00AF6C62">
        <w:rPr>
          <w:b/>
          <w:bCs/>
          <w:lang w:val="en-US"/>
        </w:rPr>
        <w:t>1</w:t>
      </w:r>
      <w:r w:rsidRPr="00AF6C62">
        <w:rPr>
          <w:lang w:val="en-US"/>
        </w:rPr>
        <w:t xml:space="preserve">:100-110. </w:t>
      </w:r>
      <w:r w:rsidRPr="00686A2E">
        <w:rPr>
          <w:lang w:val="es-ES"/>
        </w:rPr>
        <w:t>(1995).</w:t>
      </w:r>
      <w:bookmarkEnd w:id="5"/>
    </w:p>
    <w:p w:rsidRPr="00686A2E" w:rsidR="00CC25E8" w:rsidP="00CC25E8" w:rsidRDefault="00CC25E8" w14:paraId="4157498C" w14:textId="77777777">
      <w:pPr>
        <w:autoSpaceDE w:val="0"/>
        <w:autoSpaceDN/>
        <w:spacing w:before="120" w:after="0"/>
        <w:textAlignment w:val="auto"/>
        <w:rPr>
          <w:lang w:val="da-DK"/>
        </w:rPr>
      </w:pPr>
      <w:bookmarkStart w:name="_Ref198286308" w:id="6"/>
      <w:r w:rsidRPr="00AF6C62">
        <w:rPr>
          <w:lang w:val="en-US"/>
        </w:rPr>
        <w:t xml:space="preserve">D.H. Lorenz, K.W. Eichhorn, H. </w:t>
      </w:r>
      <w:proofErr w:type="spellStart"/>
      <w:r w:rsidRPr="00AF6C62">
        <w:rPr>
          <w:lang w:val="en-US"/>
        </w:rPr>
        <w:t>Bleiholder</w:t>
      </w:r>
      <w:proofErr w:type="spellEnd"/>
      <w:r w:rsidRPr="00AF6C62">
        <w:rPr>
          <w:lang w:val="en-US"/>
        </w:rPr>
        <w:t xml:space="preserve">, R. Klose, U. Meier and </w:t>
      </w:r>
      <w:proofErr w:type="spellStart"/>
      <w:proofErr w:type="gramStart"/>
      <w:r w:rsidRPr="00AF6C62">
        <w:rPr>
          <w:lang w:val="en-US"/>
        </w:rPr>
        <w:t>E.Weber</w:t>
      </w:r>
      <w:proofErr w:type="spellEnd"/>
      <w:proofErr w:type="gramEnd"/>
      <w:r w:rsidRPr="00AF6C62">
        <w:rPr>
          <w:lang w:val="en-US"/>
        </w:rPr>
        <w:t xml:space="preserve">. Phenological growth stages of the grapevine (Vitis vinifera L. ssp. vinifera)—Codes and descriptions according to the extended BBCH scale. </w:t>
      </w:r>
      <w:r w:rsidRPr="00686A2E">
        <w:rPr>
          <w:lang w:val="da-DK"/>
        </w:rPr>
        <w:t xml:space="preserve">Australian Journal of Grape and Wine Research </w:t>
      </w:r>
      <w:r w:rsidRPr="00686A2E">
        <w:rPr>
          <w:b/>
          <w:bCs/>
          <w:lang w:val="da-DK"/>
        </w:rPr>
        <w:t>1</w:t>
      </w:r>
      <w:r>
        <w:rPr>
          <w:lang w:val="da-DK"/>
        </w:rPr>
        <w:t>:</w:t>
      </w:r>
      <w:r w:rsidRPr="00686A2E">
        <w:rPr>
          <w:lang w:val="da-DK"/>
        </w:rPr>
        <w:t xml:space="preserve"> 100-110. (1995).</w:t>
      </w:r>
      <w:bookmarkEnd w:id="6"/>
    </w:p>
    <w:p w:rsidRPr="00686A2E" w:rsidR="00CC25E8" w:rsidP="00C46758" w:rsidRDefault="00CC25E8" w14:paraId="653CA5BD" w14:textId="77777777"/>
    <w:p w:rsidR="001C72DB" w:rsidRDefault="00A47123" w14:paraId="0650DE07" w14:textId="77777777">
      <w:pPr>
        <w:pStyle w:val="Ttulo1"/>
      </w:pPr>
      <w:bookmarkStart w:name="_Toc233103245" w:id="7"/>
      <w:r>
        <w:lastRenderedPageBreak/>
        <w:t>Resultados del seguimiento y evaluación de la eficacia de las soluciones implementadas en los experimentos piloto.</w:t>
      </w:r>
      <w:bookmarkEnd w:id="7"/>
    </w:p>
    <w:p w:rsidRPr="000F2793" w:rsidR="000F2793" w:rsidRDefault="0069250A" w14:paraId="492F0445" w14:textId="77777777">
      <w:r w:rsidRPr="000F2793">
        <w:t>Seguidamente se presentan los resultados más interesante</w:t>
      </w:r>
      <w:r w:rsidRPr="000F2793" w:rsidR="000F2793">
        <w:t>s</w:t>
      </w:r>
      <w:r w:rsidRPr="000F2793">
        <w:t xml:space="preserve"> obtenidos con el ensayo de fechas de poda de Samaniego. </w:t>
      </w:r>
    </w:p>
    <w:p w:rsidRPr="000F2793" w:rsidR="001C72DB" w:rsidRDefault="0069250A" w14:paraId="67627274" w14:textId="088199FF">
      <w:r w:rsidRPr="20AC5A9D" w:rsidR="0069250A">
        <w:rPr>
          <w:lang w:val="es-ES"/>
        </w:rPr>
        <w:t>La brotación se retrasó con respecto a las podas tempranas</w:t>
      </w:r>
      <w:r w:rsidRPr="20AC5A9D" w:rsidR="000F2793">
        <w:rPr>
          <w:lang w:val="es-ES"/>
        </w:rPr>
        <w:t xml:space="preserve"> (noviembre, diciembre y enero), y es a partir de marzo cuando las diferencias ya son relevantes. Así, la poda del mes de marzo consiguió retrasar la brotación entre 5 y 9 días. En cuanto a la poda realizada en el mes de abril este retraso fue mayor, entre 9 y 17 días y finalmente en la poda de abril este retraso fue de entre 2 y 3 semanas (</w:t>
      </w:r>
      <w:r>
        <w:fldChar w:fldCharType="begin"/>
      </w:r>
      <w:r>
        <w:instrText xml:space="preserve"> REF _Ref236214407 \h </w:instrText>
      </w:r>
      <w:r>
        <w:instrText xml:space="preserve"> \* MERGEFORMAT </w:instrText>
      </w:r>
      <w:r>
        <w:fldChar w:fldCharType="separate"/>
      </w:r>
      <w:r w:rsidRPr="20AC5A9D" w:rsidR="000F2793">
        <w:rPr>
          <w:lang w:val="es-ES"/>
        </w:rPr>
        <w:t>Figura 3</w:t>
      </w:r>
      <w:r>
        <w:fldChar w:fldCharType="end"/>
      </w:r>
      <w:r w:rsidRPr="20AC5A9D" w:rsidR="000F2793">
        <w:rPr>
          <w:lang w:val="es-ES"/>
        </w:rPr>
        <w:t>).</w:t>
      </w:r>
    </w:p>
    <w:p w:rsidR="0069250A" w:rsidRDefault="0069250A" w14:paraId="32115058" w14:textId="5D6F5CE2">
      <w:pPr>
        <w:rPr>
          <w:i/>
          <w:iCs/>
          <w:lang w:val="es-ES" w:eastAsia="en-US"/>
        </w:rPr>
      </w:pPr>
      <w:r w:rsidRPr="0069250A">
        <w:rPr>
          <w:i/>
          <w:iCs/>
          <w:lang w:eastAsia="en-US"/>
        </w:rPr>
        <w:drawing>
          <wp:inline distT="0" distB="0" distL="0" distR="0" wp14:anchorId="144B31BB" wp14:editId="169D1A79">
            <wp:extent cx="5400040" cy="2639060"/>
            <wp:effectExtent l="0" t="0" r="0" b="8890"/>
            <wp:docPr id="11" name="Imagen 10">
              <a:extLst xmlns:a="http://schemas.openxmlformats.org/drawingml/2006/main">
                <a:ext uri="{FF2B5EF4-FFF2-40B4-BE49-F238E27FC236}">
                  <a16:creationId xmlns:a16="http://schemas.microsoft.com/office/drawing/2014/main" id="{D6E1A397-5677-D025-5767-B63E861BE0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D6E1A397-5677-D025-5767-B63E861BE02C}"/>
                        </a:ext>
                      </a:extLst>
                    </pic:cNvPr>
                    <pic:cNvPicPr>
                      <a:picLocks noChangeAspect="1"/>
                    </pic:cNvPicPr>
                  </pic:nvPicPr>
                  <pic:blipFill>
                    <a:blip r:embed="rId18"/>
                    <a:stretch>
                      <a:fillRect/>
                    </a:stretch>
                  </pic:blipFill>
                  <pic:spPr>
                    <a:xfrm>
                      <a:off x="0" y="0"/>
                      <a:ext cx="5400040" cy="2639060"/>
                    </a:xfrm>
                    <a:prstGeom prst="rect">
                      <a:avLst/>
                    </a:prstGeom>
                  </pic:spPr>
                </pic:pic>
              </a:graphicData>
            </a:graphic>
          </wp:inline>
        </w:drawing>
      </w:r>
    </w:p>
    <w:p w:rsidR="0069250A" w:rsidP="0069250A" w:rsidRDefault="0069250A" w14:paraId="195F8335" w14:textId="677C0616">
      <w:pPr>
        <w:pStyle w:val="Descripcin"/>
        <w:rPr>
          <w:b w:val="0"/>
          <w:bCs w:val="0"/>
        </w:rPr>
      </w:pPr>
      <w:bookmarkStart w:name="_Ref236214407" w:id="8"/>
      <w:r>
        <w:t xml:space="preserve">Figura </w:t>
      </w:r>
      <w:r>
        <w:fldChar w:fldCharType="begin"/>
      </w:r>
      <w:r>
        <w:instrText xml:space="preserve"> SEQ Figura \* ARABIC </w:instrText>
      </w:r>
      <w:r>
        <w:fldChar w:fldCharType="separate"/>
      </w:r>
      <w:r w:rsidR="000F2793">
        <w:rPr>
          <w:noProof/>
        </w:rPr>
        <w:t>3</w:t>
      </w:r>
      <w:r>
        <w:fldChar w:fldCharType="end"/>
      </w:r>
      <w:bookmarkEnd w:id="8"/>
      <w:r>
        <w:t xml:space="preserve"> </w:t>
      </w:r>
      <w:r w:rsidRPr="0069250A">
        <w:rPr>
          <w:b w:val="0"/>
          <w:bCs w:val="0"/>
        </w:rPr>
        <w:t>Días de retraso en la fecha de brotación en función de la fecha de poda con respecto al tratamiento con la brotación más temprana en el ensayo de fechas de poda de Samaniego (Araba/Álava) en los años 2021, 2024 y 2025.</w:t>
      </w:r>
      <w:r w:rsidR="000F2793">
        <w:rPr>
          <w:b w:val="0"/>
          <w:bCs w:val="0"/>
        </w:rPr>
        <w:t xml:space="preserve"> Se señala la poda del mes de marzo en verde como aquella en que se comienzan a ver diferencias relevantes en la fecha de brotación.</w:t>
      </w:r>
    </w:p>
    <w:p w:rsidR="000F2793" w:rsidP="000F2793" w:rsidRDefault="000F2793" w14:paraId="0CDA3A88" w14:textId="77777777">
      <w:pPr>
        <w:rPr>
          <w:lang w:val="es-ES" w:eastAsia="en-US"/>
        </w:rPr>
      </w:pPr>
    </w:p>
    <w:p w:rsidR="00252061" w:rsidP="000F2793" w:rsidRDefault="000F2793" w14:paraId="53DAD708" w14:textId="3CA84292">
      <w:r>
        <w:rPr>
          <w:lang w:val="es-ES" w:eastAsia="en-US"/>
        </w:rPr>
        <w:t>En cuanto a la producción se observa que la poda realizada en el mes de abril es por lo general la más productiva debido a un aumento del peso medio del racimo. Por el contrario, el tratamiento más tardío que se podó una vez la viña brotada es el que menor producción presenta (</w:t>
      </w:r>
      <w:r>
        <w:rPr>
          <w:lang w:val="es-ES" w:eastAsia="en-US"/>
        </w:rPr>
        <w:fldChar w:fldCharType="begin"/>
      </w:r>
      <w:r>
        <w:rPr>
          <w:lang w:val="es-ES" w:eastAsia="en-US"/>
        </w:rPr>
        <w:instrText xml:space="preserve"> REF _Ref236214714 \h </w:instrText>
      </w:r>
      <w:r>
        <w:rPr>
          <w:lang w:val="es-ES" w:eastAsia="en-US"/>
        </w:rPr>
      </w:r>
      <w:r>
        <w:rPr>
          <w:lang w:val="es-ES" w:eastAsia="en-US"/>
        </w:rPr>
        <w:fldChar w:fldCharType="separate"/>
      </w:r>
      <w:r>
        <w:t xml:space="preserve">Figura </w:t>
      </w:r>
      <w:r>
        <w:rPr>
          <w:noProof/>
        </w:rPr>
        <w:t>4</w:t>
      </w:r>
      <w:r>
        <w:rPr>
          <w:lang w:val="es-ES" w:eastAsia="en-US"/>
        </w:rPr>
        <w:fldChar w:fldCharType="end"/>
      </w:r>
      <w:r>
        <w:rPr>
          <w:lang w:val="es-ES" w:eastAsia="en-US"/>
        </w:rPr>
        <w:t xml:space="preserve">). Este </w:t>
      </w:r>
      <w:r w:rsidRPr="00686A2E">
        <w:t xml:space="preserve">descenso productivo </w:t>
      </w:r>
      <w:r>
        <w:t xml:space="preserve">puede deberse </w:t>
      </w:r>
      <w:r w:rsidRPr="00686A2E">
        <w:t>a un desvío demasiado grande de reservas en forma de carbohidratos al crecimiento inicial de los brotes que es retirado con la poda, causando un descenso de carbohidratos durante la floración.</w:t>
      </w:r>
      <w:r>
        <w:t xml:space="preserve"> En cuanto a la mayor producción y peso medio de racimo en la poda de inicios del mes de abril</w:t>
      </w:r>
      <w:r w:rsidR="00252061">
        <w:t xml:space="preserve">, </w:t>
      </w:r>
      <w:r>
        <w:t>puede ser que</w:t>
      </w:r>
      <w:r w:rsidRPr="00686A2E">
        <w:t xml:space="preserve"> temperaturas más cálidas en el período de cuajado </w:t>
      </w:r>
      <w:r>
        <w:t>hayan</w:t>
      </w:r>
      <w:r w:rsidRPr="00686A2E">
        <w:t xml:space="preserve"> favorecido una mejor fertilización de las flores y causado el desarrollo de semillas</w:t>
      </w:r>
      <w:r w:rsidR="00252061">
        <w:t xml:space="preserve"> que hacen que el tamaño de la baya será mayor</w:t>
      </w:r>
      <w:r w:rsidRPr="00686A2E">
        <w:t xml:space="preserve">. </w:t>
      </w:r>
      <w:r w:rsidR="00252061">
        <w:t xml:space="preserve">Es cierto que la floración ocurrió </w:t>
      </w:r>
      <w:r w:rsidR="006B70AD">
        <w:t xml:space="preserve">entre 3 y 9 días </w:t>
      </w:r>
      <w:r w:rsidR="00252061">
        <w:t xml:space="preserve">más tarde en </w:t>
      </w:r>
      <w:r w:rsidR="006B70AD">
        <w:t xml:space="preserve">el tratamiento de </w:t>
      </w:r>
      <w:proofErr w:type="gramStart"/>
      <w:r w:rsidR="006B70AD">
        <w:t xml:space="preserve">abril </w:t>
      </w:r>
      <w:r w:rsidR="00252061">
        <w:t xml:space="preserve"> (</w:t>
      </w:r>
      <w:proofErr w:type="gramEnd"/>
      <w:r w:rsidR="00252061">
        <w:t>datos no mostrados) y la tendencia de la temperatura es a ser cada vez más alta a medida que avanzamos en el ciclo.</w:t>
      </w:r>
    </w:p>
    <w:p w:rsidRPr="00686A2E" w:rsidR="000F2793" w:rsidP="000F2793" w:rsidRDefault="000F2793" w14:paraId="44B88300" w14:textId="77777777"/>
    <w:p w:rsidRPr="000F2793" w:rsidR="000F2793" w:rsidP="000F2793" w:rsidRDefault="000F2793" w14:paraId="59A4FA27" w14:textId="758664EC">
      <w:pPr>
        <w:rPr>
          <w:lang w:val="es-ES" w:eastAsia="en-US"/>
        </w:rPr>
      </w:pPr>
    </w:p>
    <w:p w:rsidR="0069250A" w:rsidRDefault="0069250A" w14:paraId="6B291941" w14:textId="77777777">
      <w:pPr>
        <w:rPr>
          <w:i/>
          <w:iCs/>
          <w:lang w:val="es-ES" w:eastAsia="en-US"/>
        </w:rPr>
      </w:pPr>
    </w:p>
    <w:p w:rsidRPr="005E5A38" w:rsidR="0069250A" w:rsidRDefault="0069250A" w14:paraId="17CD193B" w14:textId="537052AB">
      <w:pPr>
        <w:rPr>
          <w:i/>
          <w:iCs/>
          <w:lang w:val="es-ES" w:eastAsia="en-US"/>
        </w:rPr>
      </w:pPr>
      <w:r w:rsidRPr="0069250A">
        <w:rPr>
          <w:i/>
          <w:iCs/>
          <w:lang w:val="es-ES" w:eastAsia="en-US"/>
        </w:rPr>
        <w:lastRenderedPageBreak/>
        <w:drawing>
          <wp:inline distT="0" distB="0" distL="0" distR="0" wp14:anchorId="1720397A" wp14:editId="7A4D3746">
            <wp:extent cx="5400040" cy="2890520"/>
            <wp:effectExtent l="0" t="0" r="0" b="5080"/>
            <wp:docPr id="2013343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343120" name=""/>
                    <pic:cNvPicPr/>
                  </pic:nvPicPr>
                  <pic:blipFill>
                    <a:blip r:embed="rId19"/>
                    <a:stretch>
                      <a:fillRect/>
                    </a:stretch>
                  </pic:blipFill>
                  <pic:spPr>
                    <a:xfrm>
                      <a:off x="0" y="0"/>
                      <a:ext cx="5400040" cy="2890520"/>
                    </a:xfrm>
                    <a:prstGeom prst="rect">
                      <a:avLst/>
                    </a:prstGeom>
                  </pic:spPr>
                </pic:pic>
              </a:graphicData>
            </a:graphic>
          </wp:inline>
        </w:drawing>
      </w:r>
    </w:p>
    <w:p w:rsidRPr="000F2793" w:rsidR="000F2793" w:rsidP="000F2793" w:rsidRDefault="000F2793" w14:paraId="058A9F0E" w14:textId="41330AE7">
      <w:pPr>
        <w:pStyle w:val="Descripcin"/>
        <w:rPr>
          <w:b w:val="0"/>
          <w:bCs w:val="0"/>
          <w:i/>
          <w:iCs/>
          <w:lang w:eastAsia="en-US"/>
        </w:rPr>
      </w:pPr>
      <w:bookmarkStart w:name="_Ref236214714" w:id="9"/>
      <w:r>
        <w:t xml:space="preserve">Figura </w:t>
      </w:r>
      <w:r>
        <w:fldChar w:fldCharType="begin"/>
      </w:r>
      <w:r>
        <w:instrText xml:space="preserve"> SEQ Figura \* ARABIC </w:instrText>
      </w:r>
      <w:r>
        <w:fldChar w:fldCharType="separate"/>
      </w:r>
      <w:r>
        <w:rPr>
          <w:noProof/>
        </w:rPr>
        <w:t>4</w:t>
      </w:r>
      <w:r>
        <w:fldChar w:fldCharType="end"/>
      </w:r>
      <w:bookmarkEnd w:id="9"/>
      <w:r>
        <w:t xml:space="preserve"> </w:t>
      </w:r>
      <w:r w:rsidRPr="000F2793">
        <w:rPr>
          <w:b w:val="0"/>
          <w:bCs w:val="0"/>
        </w:rPr>
        <w:t xml:space="preserve">Evolución de la producción (barras) y peso medio del racimo (línea) en función de la fecha de poda </w:t>
      </w:r>
      <w:r w:rsidRPr="000F2793">
        <w:rPr>
          <w:b w:val="0"/>
          <w:bCs w:val="0"/>
        </w:rPr>
        <w:t xml:space="preserve">en el ensayo de fechas de poda de Samaniego (Araba/Álava) en los años 2021, </w:t>
      </w:r>
      <w:r w:rsidRPr="000F2793">
        <w:rPr>
          <w:b w:val="0"/>
          <w:bCs w:val="0"/>
        </w:rPr>
        <w:t xml:space="preserve">2022, 2023, </w:t>
      </w:r>
      <w:r w:rsidRPr="000F2793">
        <w:rPr>
          <w:b w:val="0"/>
          <w:bCs w:val="0"/>
        </w:rPr>
        <w:t>2024 y 2025.</w:t>
      </w:r>
    </w:p>
    <w:p w:rsidR="006B70AD" w:rsidRDefault="006B70AD" w14:paraId="391080A3" w14:textId="77777777">
      <w:pPr>
        <w:rPr>
          <w:i/>
          <w:iCs/>
          <w:lang w:eastAsia="en-US"/>
        </w:rPr>
      </w:pPr>
    </w:p>
    <w:p w:rsidRPr="006B70AD" w:rsidR="006B70AD" w:rsidRDefault="006B70AD" w14:paraId="78EF1FEA" w14:textId="02612BCE">
      <w:pPr>
        <w:rPr>
          <w:lang w:val="es-ES" w:eastAsia="en-US"/>
        </w:rPr>
      </w:pPr>
      <w:r w:rsidRPr="006B70AD">
        <w:rPr>
          <w:lang w:val="es-ES" w:eastAsia="en-US"/>
        </w:rPr>
        <w:t>En cuanto a la calidad, por lo general los tratamientos más tardíos (sobre todo abril y abril después de brotación) produjeron uvas con un menor grado probable y una mayor acidez. Esto es lógico, e indica un retraso del ciclo que llega hasta la vendimia. Esta es una característica interesante porque existe una preocupación creciente provocada por el cambio climático por la pérdida de acidez. Sin embargo, no todos los años se consiguen mantener estas diferencias hasta el final del ciclo.</w:t>
      </w:r>
    </w:p>
    <w:p w:rsidR="001C72DB" w:rsidRDefault="00A47123" w14:paraId="3C1998E8" w14:textId="7550978C">
      <w:pPr>
        <w:pStyle w:val="Ttulo1"/>
      </w:pPr>
      <w:bookmarkStart w:name="_Toc233103246" w:id="10"/>
      <w:r>
        <w:t>Conclusión</w:t>
      </w:r>
      <w:bookmarkEnd w:id="10"/>
      <w:r>
        <w:t xml:space="preserve"> </w:t>
      </w:r>
    </w:p>
    <w:p w:rsidR="006B70AD" w:rsidP="006B70AD" w:rsidRDefault="006B70AD" w14:paraId="333E446E" w14:textId="77777777">
      <w:pPr>
        <w:rPr>
          <w:lang w:val="es-ES" w:eastAsia="en-US"/>
        </w:rPr>
      </w:pPr>
    </w:p>
    <w:p w:rsidRPr="006B70AD" w:rsidR="006B70AD" w:rsidP="006B70AD" w:rsidRDefault="006B70AD" w14:paraId="458FA82E" w14:textId="77777777">
      <w:pPr>
        <w:rPr>
          <w:lang w:val="es-ES" w:eastAsia="en-US"/>
        </w:rPr>
      </w:pPr>
      <w:r w:rsidRPr="006B70AD">
        <w:rPr>
          <w:lang w:val="es-ES" w:eastAsia="en-US"/>
        </w:rPr>
        <w:t>La poda tardía, justo antes de la brotación (principios de abril), retrasa la brotación en 9-17 días, y la floración 3-9 días, en comparación con la poda realizada en diciembre. Estas diferencias solo se mantienen durante la maduración hasta la vendimia algunos años, momento en el que se observa una reducción del grado probable y un aumento de la acidez total.</w:t>
      </w:r>
    </w:p>
    <w:p w:rsidRPr="006B70AD" w:rsidR="006B70AD" w:rsidP="006B70AD" w:rsidRDefault="006B70AD" w14:paraId="3333B4F1" w14:textId="77777777">
      <w:pPr>
        <w:rPr>
          <w:lang w:val="es-ES" w:eastAsia="en-US"/>
        </w:rPr>
      </w:pPr>
      <w:r w:rsidRPr="006B70AD">
        <w:rPr>
          <w:lang w:val="es-ES" w:eastAsia="en-US"/>
        </w:rPr>
        <w:t xml:space="preserve">La poda más tardía, cuando las yemas apicales tienen 2-3 hojas, retrasa aún más la brotación (unas 2-3 semanas) y, por lo tanto, prolonga el periodo en el que la planta puede soportar las heladas, pero reduce significativamente el rendimiento. </w:t>
      </w:r>
    </w:p>
    <w:p w:rsidR="006B70AD" w:rsidP="006B70AD" w:rsidRDefault="006B70AD" w14:paraId="679EC7C3" w14:textId="6602DE4D">
      <w:pPr>
        <w:rPr>
          <w:lang w:val="es-ES" w:eastAsia="en-US"/>
        </w:rPr>
      </w:pPr>
      <w:r>
        <w:rPr>
          <w:lang w:val="es-ES" w:eastAsia="en-US"/>
        </w:rPr>
        <w:t xml:space="preserve">El retraso de la poda se ha mostrado como una herramienta eficaz de cara a retrasar la brotación y por tanto ampliar la ventana temporal en que la planta está protegida de las heladas, puesto que a partir de la brotación la planta es muy sensible a las temperaturas bajo cero. Es interesante destacar, que a diferencia de lo que dice la bibliografía, </w:t>
      </w:r>
      <w:r w:rsidRPr="006B70AD">
        <w:rPr>
          <w:lang w:val="es-ES" w:eastAsia="en-US"/>
        </w:rPr>
        <w:t>la poda a principios de marzo también logró retrasar la brotación en 5-9 días.</w:t>
      </w:r>
    </w:p>
    <w:p w:rsidR="006B70AD" w:rsidP="006B70AD" w:rsidRDefault="006B70AD" w14:paraId="6EE8084B" w14:textId="674503E0">
      <w:pPr>
        <w:rPr>
          <w:lang w:val="es-ES" w:eastAsia="en-US"/>
        </w:rPr>
      </w:pPr>
      <w:r>
        <w:rPr>
          <w:lang w:val="es-ES" w:eastAsia="en-US"/>
        </w:rPr>
        <w:t xml:space="preserve">Una limitación de esta medida es que no es posible retrasar la poda hasta esas fechas en toda la explotación porque no se dispone de la mano de obra necesaria para ello, pero se aconseja </w:t>
      </w:r>
      <w:r>
        <w:rPr>
          <w:lang w:val="es-ES" w:eastAsia="en-US"/>
        </w:rPr>
        <w:lastRenderedPageBreak/>
        <w:t xml:space="preserve">hacerlo en aquellos viñedos que presentan un mayor riesgo como son los viñedos jóvenes, aquellos que están en el fondo de vaguadas, etc. </w:t>
      </w:r>
    </w:p>
    <w:p w:rsidR="006B70AD" w:rsidP="006B70AD" w:rsidRDefault="006B70AD" w14:paraId="2764F30C" w14:textId="4620882A">
      <w:pPr>
        <w:rPr>
          <w:lang w:val="es-ES" w:eastAsia="en-US"/>
        </w:rPr>
      </w:pPr>
      <w:r>
        <w:rPr>
          <w:lang w:val="es-ES" w:eastAsia="en-US"/>
        </w:rPr>
        <w:t xml:space="preserve">Es cierto que </w:t>
      </w:r>
      <w:r w:rsidR="00620157">
        <w:rPr>
          <w:lang w:val="es-ES" w:eastAsia="en-US"/>
        </w:rPr>
        <w:t xml:space="preserve">ya </w:t>
      </w:r>
      <w:r>
        <w:rPr>
          <w:lang w:val="es-ES" w:eastAsia="en-US"/>
        </w:rPr>
        <w:t>se sabía que las podas tardías retrasan la brotación, pero no se contaba hasta la fecha con datos exactos en cuanto al número de días de retraso y tampoco se conocía la incidencia que tenía en cuanto a producción, calidad de la uva, etc.</w:t>
      </w:r>
    </w:p>
    <w:p w:rsidRPr="006B70AD" w:rsidR="00F84CB2" w:rsidP="006B70AD" w:rsidRDefault="00F84CB2" w14:paraId="7D8C9204" w14:textId="14F7C60D">
      <w:pPr>
        <w:rPr>
          <w:lang w:val="es-ES" w:eastAsia="en-US"/>
        </w:rPr>
      </w:pPr>
      <w:r>
        <w:rPr>
          <w:lang w:val="es-ES" w:eastAsia="en-US"/>
        </w:rPr>
        <w:t>Esta medida puede servir para viñedos y frutales de todo el territorio POCTEFA, pero la incidencia exacta variará en función de las condiciones edafoclimáticas y del cultivo seleccionado.</w:t>
      </w:r>
    </w:p>
    <w:p w:rsidRPr="006B70AD" w:rsidR="006B70AD" w:rsidP="006B70AD" w:rsidRDefault="006B70AD" w14:paraId="4029C7E7" w14:textId="77777777">
      <w:pPr>
        <w:rPr>
          <w:lang w:val="es-ES" w:eastAsia="en-US"/>
        </w:rPr>
      </w:pPr>
    </w:p>
    <w:sectPr w:rsidRPr="006B70AD" w:rsidR="006B70AD">
      <w:headerReference w:type="default" r:id="rId20"/>
      <w:footerReference w:type="default" r:id="rId21"/>
      <w:pgSz w:w="11906" w:h="16838" w:orient="portrait"/>
      <w:pgMar w:top="1417" w:right="1701" w:bottom="1417" w:left="1701" w:header="426"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1202" w:rsidRDefault="00B21202" w14:paraId="60292987" w14:textId="77777777">
      <w:pPr>
        <w:spacing w:before="0" w:after="0"/>
      </w:pPr>
      <w:r>
        <w:separator/>
      </w:r>
    </w:p>
  </w:endnote>
  <w:endnote w:type="continuationSeparator" w:id="0">
    <w:p w:rsidR="00B21202" w:rsidRDefault="00B21202" w14:paraId="5B40E38B"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PSMT">
    <w:charset w:val="00"/>
    <w:family w:val="roman"/>
    <w:pitch w:val="default"/>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183"/>
      <w:gridCol w:w="1311"/>
    </w:tblGrid>
    <w:tr w:rsidR="0068069F" w14:paraId="63F50C08" w14:textId="77777777">
      <w:trPr>
        <w:cantSplit/>
      </w:trPr>
      <w:tc>
        <w:tcPr>
          <w:tcW w:w="7183"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A47123" w:rsidRDefault="00A47123" w14:paraId="2E871CAD" w14:textId="77777777">
          <w:pPr>
            <w:pStyle w:val="Piedepgina"/>
            <w:tabs>
              <w:tab w:val="left" w:pos="2580"/>
              <w:tab w:val="left" w:pos="3672"/>
            </w:tabs>
            <w:ind w:right="360"/>
            <w:rPr>
              <w:sz w:val="18"/>
              <w:lang w:val="en-GB"/>
            </w:rPr>
          </w:pPr>
          <w:proofErr w:type="spellStart"/>
          <w:r>
            <w:rPr>
              <w:sz w:val="18"/>
            </w:rPr>
            <w:t>An</w:t>
          </w:r>
          <w:proofErr w:type="spellEnd"/>
          <w:r>
            <w:rPr>
              <w:sz w:val="18"/>
            </w:rPr>
            <w:t xml:space="preserve">-Gel </w:t>
          </w:r>
          <w:proofErr w:type="spellStart"/>
          <w:r>
            <w:rPr>
              <w:sz w:val="18"/>
            </w:rPr>
            <w:t>Sudoe</w:t>
          </w:r>
          <w:proofErr w:type="spellEnd"/>
          <w:r>
            <w:rPr>
              <w:sz w:val="18"/>
            </w:rPr>
            <w:t xml:space="preserve"> </w:t>
          </w:r>
        </w:p>
      </w:tc>
      <w:tc>
        <w:tcPr>
          <w:tcW w:w="1311"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A47123" w:rsidRDefault="00A47123" w14:paraId="1063E92D" w14:textId="77777777">
          <w:pPr>
            <w:pStyle w:val="Piedepgina"/>
            <w:jc w:val="right"/>
          </w:pPr>
          <w:r>
            <w:rPr>
              <w:sz w:val="18"/>
              <w:szCs w:val="18"/>
            </w:rPr>
            <w:t xml:space="preserve">Página </w:t>
          </w:r>
          <w:r>
            <w:rPr>
              <w:sz w:val="18"/>
              <w:szCs w:val="18"/>
            </w:rPr>
            <w:fldChar w:fldCharType="begin"/>
          </w:r>
          <w:r>
            <w:rPr>
              <w:sz w:val="18"/>
              <w:szCs w:val="18"/>
            </w:rPr>
            <w:instrText xml:space="preserve"> PAGE \* ARABIC </w:instrText>
          </w:r>
          <w:r>
            <w:rPr>
              <w:sz w:val="18"/>
              <w:szCs w:val="18"/>
            </w:rPr>
            <w:fldChar w:fldCharType="separate"/>
          </w:r>
          <w:r>
            <w:rPr>
              <w:sz w:val="18"/>
              <w:szCs w:val="18"/>
            </w:rPr>
            <w:t>125</w:t>
          </w:r>
          <w:r>
            <w:rPr>
              <w:sz w:val="18"/>
              <w:szCs w:val="18"/>
            </w:rPr>
            <w:fldChar w:fldCharType="end"/>
          </w:r>
        </w:p>
      </w:tc>
    </w:tr>
  </w:tbl>
  <w:p w:rsidR="00A47123" w:rsidRDefault="00A47123" w14:paraId="4ADB80F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1202" w:rsidRDefault="00B21202" w14:paraId="0F2B0C45" w14:textId="77777777">
      <w:pPr>
        <w:spacing w:before="0" w:after="0"/>
      </w:pPr>
      <w:r>
        <w:rPr>
          <w:color w:val="000000"/>
        </w:rPr>
        <w:separator/>
      </w:r>
    </w:p>
  </w:footnote>
  <w:footnote w:type="continuationSeparator" w:id="0">
    <w:p w:rsidR="00B21202" w:rsidRDefault="00B21202" w14:paraId="024B982E"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4872" w:type="pct"/>
      <w:tblInd w:w="279" w:type="dxa"/>
      <w:tblLayout w:type="fixed"/>
      <w:tblCellMar>
        <w:left w:w="10" w:type="dxa"/>
        <w:right w:w="10" w:type="dxa"/>
      </w:tblCellMar>
      <w:tblLook w:val="04A0" w:firstRow="1" w:lastRow="0" w:firstColumn="1" w:lastColumn="0" w:noHBand="0" w:noVBand="1"/>
    </w:tblPr>
    <w:tblGrid>
      <w:gridCol w:w="10658"/>
    </w:tblGrid>
    <w:tr w:rsidR="0068069F" w:rsidTr="005E5A38" w14:paraId="49B1F18C" w14:textId="77777777">
      <w:trPr>
        <w:cantSplit/>
      </w:trPr>
      <w:tc>
        <w:tcPr>
          <w:tcW w:w="10659"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vAlign w:val="center"/>
        </w:tcPr>
        <w:p w:rsidR="00A47123" w:rsidRDefault="00A47123" w14:paraId="3AEDA3CE" w14:textId="77777777">
          <w:pPr>
            <w:pStyle w:val="TablaTitulo"/>
            <w:spacing w:before="20" w:after="20"/>
          </w:pPr>
          <w:r>
            <w:rPr>
              <w:noProof/>
            </w:rPr>
            <w:drawing>
              <wp:inline distT="0" distB="0" distL="0" distR="0" wp14:anchorId="35AE36B0" wp14:editId="7774C3C5">
                <wp:extent cx="2232205" cy="640473"/>
                <wp:effectExtent l="0" t="0" r="0" b="7227"/>
                <wp:docPr id="1708507523"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32205" cy="640473"/>
                        </a:xfrm>
                        <a:prstGeom prst="rect">
                          <a:avLst/>
                        </a:prstGeom>
                        <a:noFill/>
                        <a:ln>
                          <a:noFill/>
                          <a:prstDash/>
                        </a:ln>
                      </pic:spPr>
                    </pic:pic>
                  </a:graphicData>
                </a:graphic>
              </wp:inline>
            </w:drawing>
          </w:r>
        </w:p>
      </w:tc>
    </w:tr>
  </w:tbl>
  <w:p w:rsidR="00A47123" w:rsidRDefault="00A47123" w14:paraId="4A8C6E49" w14:textId="77777777">
    <w:pPr>
      <w:pStyle w:val="Encabezado"/>
      <w:tabs>
        <w:tab w:val="clear" w:pos="4252"/>
        <w:tab w:val="clear" w:pos="8504"/>
        <w:tab w:val="left" w:pos="20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5000" w:type="pct"/>
      <w:tblLayout w:type="fixed"/>
      <w:tblCellMar>
        <w:left w:w="10" w:type="dxa"/>
        <w:right w:w="10" w:type="dxa"/>
      </w:tblCellMar>
      <w:tblLook w:val="04A0" w:firstRow="1" w:lastRow="0" w:firstColumn="1" w:lastColumn="0" w:noHBand="0" w:noVBand="1"/>
    </w:tblPr>
    <w:tblGrid>
      <w:gridCol w:w="8504"/>
    </w:tblGrid>
    <w:tr w:rsidR="0068069F" w:rsidTr="005E5A38" w14:paraId="0BDC9E2A" w14:textId="77777777">
      <w:trPr>
        <w:cantSplit/>
      </w:trPr>
      <w:tc>
        <w:tcPr>
          <w:tcW w:w="10948" w:type="dxa"/>
          <w:tcMar>
            <w:top w:w="0" w:type="dxa"/>
            <w:left w:w="70" w:type="dxa"/>
            <w:bottom w:w="0" w:type="dxa"/>
            <w:right w:w="70" w:type="dxa"/>
          </w:tcMar>
          <w:vAlign w:val="center"/>
        </w:tcPr>
        <w:p w:rsidR="00A47123" w:rsidP="005E5A38" w:rsidRDefault="005E5A38" w14:paraId="43F0E70C" w14:textId="2CED22F9">
          <w:pPr>
            <w:pStyle w:val="TablaTitulo"/>
            <w:spacing w:before="20" w:after="20"/>
          </w:pPr>
          <w:r w:rsidRPr="00E46AF3">
            <w:rPr>
              <w:noProof/>
              <w:lang w:val="pt-PT"/>
            </w:rPr>
            <w:drawing>
              <wp:inline distT="0" distB="0" distL="0" distR="0" wp14:anchorId="206377EF" wp14:editId="22FCDE9F">
                <wp:extent cx="3370521" cy="935665"/>
                <wp:effectExtent l="0" t="0" r="6985" b="7620"/>
                <wp:docPr id="258492388" name="Imagen 1" descr="Imagem que contém Forma&#10;&#10;Descrição gen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70521" cy="935665"/>
                        </a:xfrm>
                        <a:prstGeom prst="rect">
                          <a:avLst/>
                        </a:prstGeom>
                        <a:noFill/>
                        <a:ln>
                          <a:noFill/>
                          <a:prstDash/>
                        </a:ln>
                      </pic:spPr>
                    </pic:pic>
                  </a:graphicData>
                </a:graphic>
              </wp:inline>
            </w:drawing>
          </w:r>
        </w:p>
      </w:tc>
    </w:tr>
  </w:tbl>
  <w:p w:rsidR="00A47123" w:rsidRDefault="00A47123" w14:paraId="29AC6CD4" w14:textId="77777777">
    <w:pPr>
      <w:pStyle w:val="Encabezado"/>
      <w:tabs>
        <w:tab w:val="clear" w:pos="4252"/>
        <w:tab w:val="clear" w:pos="8504"/>
        <w:tab w:val="left" w:pos="20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620E33F0"/>
    <w:name w:val="WW8Num1"/>
    <w:lvl w:ilvl="0">
      <w:start w:val="1"/>
      <w:numFmt w:val="decimal"/>
      <w:pStyle w:val="Rfrences"/>
      <w:lvlText w:val="%1."/>
      <w:lvlJc w:val="left"/>
      <w:pPr>
        <w:tabs>
          <w:tab w:val="num" w:pos="720"/>
        </w:tabs>
        <w:ind w:left="720" w:hanging="360"/>
      </w:pPr>
    </w:lvl>
  </w:abstractNum>
  <w:abstractNum w:abstractNumId="1" w15:restartNumberingAfterBreak="0">
    <w:nsid w:val="010E1F24"/>
    <w:multiLevelType w:val="multilevel"/>
    <w:tmpl w:val="CDACC724"/>
    <w:styleLink w:val="WWOutlineListStyle"/>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7E56709"/>
    <w:multiLevelType w:val="multilevel"/>
    <w:tmpl w:val="1BC6EBDC"/>
    <w:styleLink w:val="LFO9"/>
    <w:lvl w:ilvl="0">
      <w:start w:val="1"/>
      <w:numFmt w:val="decimal"/>
      <w:pStyle w:val="CuadroNmero"/>
      <w:lvlText w:val="Figura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B927388"/>
    <w:multiLevelType w:val="multilevel"/>
    <w:tmpl w:val="1722E410"/>
    <w:styleLink w:val="WWOutlineListStyle1"/>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400D6843"/>
    <w:multiLevelType w:val="multilevel"/>
    <w:tmpl w:val="4896F8B0"/>
    <w:styleLink w:val="LFO3"/>
    <w:lvl w:ilvl="0">
      <w:numFmt w:val="bullet"/>
      <w:pStyle w:val="Listaconvietas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567F13AB"/>
    <w:multiLevelType w:val="multilevel"/>
    <w:tmpl w:val="7CF076D4"/>
    <w:styleLink w:val="LFO1"/>
    <w:lvl w:ilvl="0">
      <w:numFmt w:val="bullet"/>
      <w:pStyle w:val="Listaconvietas"/>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5C9E70F1"/>
    <w:multiLevelType w:val="multilevel"/>
    <w:tmpl w:val="1828133E"/>
    <w:styleLink w:val="LFO7"/>
    <w:lvl w:ilvl="0">
      <w:start w:val="1"/>
      <w:numFmt w:val="decimal"/>
      <w:pStyle w:val="GrficoNumeroOrden"/>
      <w:lvlText w:val="Gráfic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60457A4A"/>
    <w:multiLevelType w:val="multilevel"/>
    <w:tmpl w:val="5E78A69E"/>
    <w:styleLink w:val="Medida1"/>
    <w:lvl w:ilvl="0">
      <w:start w:val="1"/>
      <w:numFmt w:val="decimal"/>
      <w:lvlText w:val="Medida  %1."/>
      <w:lvlJc w:val="left"/>
      <w:rPr>
        <w:b/>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631A26B0"/>
    <w:multiLevelType w:val="multilevel"/>
    <w:tmpl w:val="EE38601A"/>
    <w:styleLink w:val="WWOutlineListStyle5"/>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66BE5D99"/>
    <w:multiLevelType w:val="multilevel"/>
    <w:tmpl w:val="E048DEBA"/>
    <w:styleLink w:val="WWOutlineListStyle6"/>
    <w:lvl w:ilvl="0">
      <w:start w:val="1"/>
      <w:numFmt w:val="upperLetter"/>
      <w:pStyle w:val="Ttulo1"/>
      <w:lvlText w:val="%1."/>
      <w:lvlJc w:val="left"/>
      <w:pPr>
        <w:ind w:left="360" w:hanging="360"/>
      </w:pPr>
      <w:rPr>
        <w:b/>
        <w:i w:val="0"/>
      </w:rPr>
    </w:lvl>
    <w:lvl w:ilvl="1">
      <w:start w:val="1"/>
      <w:numFmt w:val="decimal"/>
      <w:pStyle w:val="Ttulo2"/>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tulo3"/>
      <w:lvlText w:val="%1.%2.%3."/>
      <w:lvlJc w:val="left"/>
      <w:pPr>
        <w:ind w:left="720" w:firstLine="414"/>
      </w:pPr>
      <w:rPr>
        <w:lang w:val="es-ES_tradnl"/>
      </w:rPr>
    </w:lvl>
    <w:lvl w:ilvl="3">
      <w:start w:val="1"/>
      <w:numFmt w:val="decimal"/>
      <w:pStyle w:val="Ttulo4"/>
      <w:lvlText w:val="%1.%2.%3.%4."/>
      <w:lvlJc w:val="left"/>
      <w:pPr>
        <w:ind w:left="993" w:firstLine="0"/>
      </w:pPr>
    </w:lvl>
    <w:lvl w:ilvl="4">
      <w:start w:val="1"/>
      <w:numFmt w:val="decimal"/>
      <w:pStyle w:val="Ttulo5"/>
      <w:lvlText w:val="%1.%2.%3.%4.%5"/>
      <w:lvlJc w:val="left"/>
      <w:pPr>
        <w:ind w:left="1008" w:hanging="1008"/>
      </w:pPr>
    </w:lvl>
    <w:lvl w:ilvl="5">
      <w:start w:val="1"/>
      <w:numFmt w:val="decimal"/>
      <w:pStyle w:val="Ttulo6"/>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973323F"/>
    <w:multiLevelType w:val="multilevel"/>
    <w:tmpl w:val="A0100A00"/>
    <w:styleLink w:val="WWOutlineListStyle2"/>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720B60E3"/>
    <w:multiLevelType w:val="multilevel"/>
    <w:tmpl w:val="549684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726E25A1"/>
    <w:multiLevelType w:val="multilevel"/>
    <w:tmpl w:val="81ECA7A0"/>
    <w:styleLink w:val="LFO8"/>
    <w:lvl w:ilvl="0">
      <w:start w:val="1"/>
      <w:numFmt w:val="decimal"/>
      <w:pStyle w:val="TablaNmeroOrden"/>
      <w:lvlText w:val="Tabla %1."/>
      <w:lvlJc w:val="left"/>
      <w:pPr>
        <w:ind w:left="36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75E76E42"/>
    <w:multiLevelType w:val="multilevel"/>
    <w:tmpl w:val="4C54B3BA"/>
    <w:styleLink w:val="LFO2"/>
    <w:lvl w:ilvl="0">
      <w:numFmt w:val="bullet"/>
      <w:pStyle w:val="Listaconvietas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773C1AEF"/>
    <w:multiLevelType w:val="multilevel"/>
    <w:tmpl w:val="E6A009DC"/>
    <w:styleLink w:val="WWOutlineListStyle3"/>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787C7EDE"/>
    <w:multiLevelType w:val="multilevel"/>
    <w:tmpl w:val="B34851B8"/>
    <w:styleLink w:val="WWOutlineListStyle4"/>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num w:numId="1" w16cid:durableId="66804997">
    <w:abstractNumId w:val="9"/>
  </w:num>
  <w:num w:numId="2" w16cid:durableId="522016706">
    <w:abstractNumId w:val="8"/>
  </w:num>
  <w:num w:numId="3" w16cid:durableId="696007526">
    <w:abstractNumId w:val="15"/>
  </w:num>
  <w:num w:numId="4" w16cid:durableId="1060831350">
    <w:abstractNumId w:val="14"/>
  </w:num>
  <w:num w:numId="5" w16cid:durableId="40179156">
    <w:abstractNumId w:val="10"/>
  </w:num>
  <w:num w:numId="6" w16cid:durableId="1692415766">
    <w:abstractNumId w:val="3"/>
  </w:num>
  <w:num w:numId="7" w16cid:durableId="346517330">
    <w:abstractNumId w:val="1"/>
  </w:num>
  <w:num w:numId="8" w16cid:durableId="1254975883">
    <w:abstractNumId w:val="7"/>
  </w:num>
  <w:num w:numId="9" w16cid:durableId="473958055">
    <w:abstractNumId w:val="5"/>
  </w:num>
  <w:num w:numId="10" w16cid:durableId="805782236">
    <w:abstractNumId w:val="13"/>
  </w:num>
  <w:num w:numId="11" w16cid:durableId="536240016">
    <w:abstractNumId w:val="4"/>
  </w:num>
  <w:num w:numId="12" w16cid:durableId="952857276">
    <w:abstractNumId w:val="6"/>
  </w:num>
  <w:num w:numId="13" w16cid:durableId="255789873">
    <w:abstractNumId w:val="12"/>
  </w:num>
  <w:num w:numId="14" w16cid:durableId="1793860907">
    <w:abstractNumId w:val="2"/>
  </w:num>
  <w:num w:numId="15" w16cid:durableId="1592350596">
    <w:abstractNumId w:val="11"/>
  </w:num>
  <w:num w:numId="16" w16cid:durableId="1428118580">
    <w:abstractNumId w:val="0"/>
  </w:num>
  <w:num w:numId="17" w16cid:durableId="3069085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2DB"/>
    <w:rsid w:val="000264DA"/>
    <w:rsid w:val="000F2793"/>
    <w:rsid w:val="00184CCC"/>
    <w:rsid w:val="001C72DB"/>
    <w:rsid w:val="0022334F"/>
    <w:rsid w:val="00252061"/>
    <w:rsid w:val="005857B7"/>
    <w:rsid w:val="005E5A38"/>
    <w:rsid w:val="00620157"/>
    <w:rsid w:val="0069250A"/>
    <w:rsid w:val="006B70AD"/>
    <w:rsid w:val="00734D6F"/>
    <w:rsid w:val="00750D1B"/>
    <w:rsid w:val="009F2BC0"/>
    <w:rsid w:val="009F362B"/>
    <w:rsid w:val="00A47123"/>
    <w:rsid w:val="00B21202"/>
    <w:rsid w:val="00BE02AB"/>
    <w:rsid w:val="00C46758"/>
    <w:rsid w:val="00CC25E8"/>
    <w:rsid w:val="00DA08C0"/>
    <w:rsid w:val="00EA56A9"/>
    <w:rsid w:val="00F84CB2"/>
    <w:rsid w:val="10803D59"/>
    <w:rsid w:val="20AC5A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67D1"/>
  <w15:docId w15:val="{59BDEBE2-B00C-4A17-9DF4-858315D5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before="60" w:after="120"/>
      <w:jc w:val="both"/>
    </w:pPr>
    <w:rPr>
      <w:rFonts w:ascii="Calibri Light" w:hAnsi="Calibri Light"/>
      <w:sz w:val="22"/>
      <w:szCs w:val="24"/>
      <w:lang w:val="es-ES_tradnl" w:eastAsia="es-ES_tradnl"/>
    </w:rPr>
  </w:style>
  <w:style w:type="paragraph" w:styleId="Ttulo1">
    <w:name w:val="heading 1"/>
    <w:basedOn w:val="Ttulo3"/>
    <w:next w:val="Normal"/>
    <w:uiPriority w:val="9"/>
    <w:qFormat/>
    <w:pPr>
      <w:numPr>
        <w:ilvl w:val="0"/>
      </w:numPr>
      <w:pBdr>
        <w:bottom w:val="single" w:color="93D050" w:sz="4" w:space="1"/>
      </w:pBdr>
      <w:outlineLvl w:val="0"/>
    </w:pPr>
    <w:rPr>
      <w:color w:val="93D050"/>
      <w:sz w:val="24"/>
    </w:rPr>
  </w:style>
  <w:style w:type="paragraph" w:styleId="Ttulo2">
    <w:name w:val="heading 2"/>
    <w:basedOn w:val="Ttulo1"/>
    <w:next w:val="Normal"/>
    <w:uiPriority w:val="9"/>
    <w:semiHidden/>
    <w:unhideWhenUsed/>
    <w:qFormat/>
    <w:pPr>
      <w:numPr>
        <w:ilvl w:val="1"/>
      </w:numPr>
      <w:pBdr>
        <w:bottom w:val="single" w:color="000000" w:sz="4" w:space="1"/>
      </w:pBdr>
      <w:outlineLvl w:val="1"/>
    </w:pPr>
    <w:rPr>
      <w:color w:val="000000"/>
    </w:rPr>
  </w:style>
  <w:style w:type="paragraph" w:styleId="Ttulo3">
    <w:name w:val="heading 3"/>
    <w:basedOn w:val="Normal"/>
    <w:next w:val="Normal"/>
    <w:uiPriority w:val="9"/>
    <w:semiHidden/>
    <w:unhideWhenUsed/>
    <w:qFormat/>
    <w:pPr>
      <w:keepNext/>
      <w:numPr>
        <w:ilvl w:val="2"/>
        <w:numId w:val="1"/>
      </w:numPr>
      <w:pBdr>
        <w:bottom w:val="single" w:color="000000" w:sz="4" w:space="1"/>
      </w:pBdr>
      <w:spacing w:before="180"/>
      <w:outlineLvl w:val="2"/>
    </w:pPr>
    <w:rPr>
      <w:rFonts w:eastAsia="Calibri" w:cs="Arial"/>
      <w:b/>
      <w:bCs/>
      <w:szCs w:val="22"/>
      <w:lang w:val="es-ES" w:eastAsia="en-US"/>
    </w:rPr>
  </w:style>
  <w:style w:type="paragraph" w:styleId="Ttulo4">
    <w:name w:val="heading 4"/>
    <w:basedOn w:val="Ttulo3"/>
    <w:next w:val="Normal"/>
    <w:uiPriority w:val="9"/>
    <w:semiHidden/>
    <w:unhideWhenUsed/>
    <w:qFormat/>
    <w:pPr>
      <w:numPr>
        <w:ilvl w:val="3"/>
      </w:numPr>
      <w:tabs>
        <w:tab w:val="left" w:pos="-5674"/>
      </w:tabs>
      <w:outlineLvl w:val="3"/>
    </w:pPr>
  </w:style>
  <w:style w:type="paragraph" w:styleId="Ttulo5">
    <w:name w:val="heading 5"/>
    <w:basedOn w:val="Normal"/>
    <w:next w:val="Normal"/>
    <w:uiPriority w:val="9"/>
    <w:semiHidden/>
    <w:unhideWhenUsed/>
    <w:qFormat/>
    <w:pPr>
      <w:keepNext/>
      <w:numPr>
        <w:ilvl w:val="4"/>
        <w:numId w:val="1"/>
      </w:numPr>
      <w:pBdr>
        <w:bottom w:val="single" w:color="000000" w:sz="4" w:space="1"/>
      </w:pBdr>
      <w:spacing w:before="180"/>
      <w:outlineLvl w:val="4"/>
    </w:pPr>
    <w:rPr>
      <w:rFonts w:eastAsia="Calibri" w:cs="Arial"/>
      <w:b/>
      <w:bCs/>
      <w:szCs w:val="22"/>
      <w:lang w:val="es-ES" w:eastAsia="en-US"/>
    </w:rPr>
  </w:style>
  <w:style w:type="paragraph" w:styleId="Ttulo6">
    <w:name w:val="heading 6"/>
    <w:basedOn w:val="Ttulo5"/>
    <w:next w:val="Normal"/>
    <w:uiPriority w:val="9"/>
    <w:semiHidden/>
    <w:unhideWhenUsed/>
    <w:qFormat/>
    <w:pPr>
      <w:numPr>
        <w:ilvl w:val="5"/>
      </w:numPr>
      <w:outlineLvl w:val="5"/>
    </w:pPr>
  </w:style>
  <w:style w:type="paragraph" w:styleId="Ttulo7">
    <w:name w:val="heading 7"/>
    <w:basedOn w:val="Normal"/>
    <w:next w:val="Normal"/>
    <w:pPr>
      <w:keepNext/>
      <w:outlineLvl w:val="6"/>
    </w:pPr>
    <w:rPr>
      <w:u w:val="single"/>
      <w:lang w:val="es-ES"/>
    </w:rPr>
  </w:style>
  <w:style w:type="paragraph" w:styleId="Ttulo8">
    <w:name w:val="heading 8"/>
    <w:basedOn w:val="Normal"/>
    <w:next w:val="Normal"/>
    <w:pPr>
      <w:spacing w:before="240" w:after="60"/>
      <w:outlineLvl w:val="7"/>
    </w:pPr>
    <w:rPr>
      <w:rFonts w:ascii="Times New Roman" w:hAnsi="Times New Roman"/>
      <w:i/>
      <w:iCs/>
      <w:sz w:val="24"/>
    </w:rPr>
  </w:style>
  <w:style w:type="paragraph" w:styleId="Ttulo9">
    <w:name w:val="heading 9"/>
    <w:basedOn w:val="Normal"/>
    <w:next w:val="Normal"/>
    <w:pPr>
      <w:keepNext/>
      <w:keepLines/>
      <w:spacing w:before="40" w:after="0" w:line="276" w:lineRule="auto"/>
      <w:ind w:left="1584" w:hanging="1584"/>
      <w:jc w:val="left"/>
      <w:outlineLvl w:val="8"/>
    </w:pPr>
    <w:rPr>
      <w:rFonts w:ascii="Cambria" w:hAnsi="Cambria" w:eastAsia="MS Gothic"/>
      <w:i/>
      <w:iCs/>
      <w:color w:val="272727"/>
      <w:sz w:val="21"/>
      <w:szCs w:val="21"/>
      <w:lang w:val="es-ES" w:eastAsia="es-ES" w:bidi="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numbering" w:styleId="WWOutlineListStyle6" w:customStyle="1">
    <w:name w:val="WW_OutlineListStyle_6"/>
    <w:basedOn w:val="Sinlista"/>
    <w:pPr>
      <w:numPr>
        <w:numId w:val="1"/>
      </w:numPr>
    </w:pPr>
  </w:style>
  <w:style w:type="character" w:styleId="Textodelmarcadordeposicin">
    <w:name w:val="Placeholder Text"/>
    <w:basedOn w:val="Fuentedeprrafopredeter"/>
    <w:uiPriority w:val="99"/>
    <w:semiHidden/>
    <w:rsid w:val="009F362B"/>
    <w:rPr>
      <w:color w:val="666666"/>
    </w:rPr>
  </w:style>
  <w:style w:type="paragraph" w:styleId="Mapadeldocumento">
    <w:name w:val="Document Map"/>
    <w:basedOn w:val="Normal"/>
    <w:pPr>
      <w:shd w:val="clear" w:color="auto" w:fill="000080"/>
    </w:pPr>
    <w:rPr>
      <w:rFonts w:ascii="Tahoma" w:hAnsi="Tahoma" w:cs="Tahoma"/>
    </w:rPr>
  </w:style>
  <w:style w:type="character" w:styleId="Refdecomentario">
    <w:name w:val="annotation reference"/>
    <w:rPr>
      <w:sz w:val="16"/>
      <w:szCs w:val="16"/>
    </w:rPr>
  </w:style>
  <w:style w:type="paragraph" w:styleId="Textocomentario">
    <w:name w:val="annotation text"/>
    <w:basedOn w:val="Normal"/>
    <w:rPr>
      <w:sz w:val="20"/>
      <w:szCs w:val="20"/>
    </w:rPr>
  </w:style>
  <w:style w:type="paragraph" w:styleId="Asuntodelcomentario">
    <w:name w:val="annotation subject"/>
    <w:basedOn w:val="Textocomentario"/>
    <w:next w:val="Textocomentario"/>
    <w:rPr>
      <w:b/>
      <w:bCs/>
    </w:rPr>
  </w:style>
  <w:style w:type="paragraph" w:styleId="Textodeglobo">
    <w:name w:val="Balloon Text"/>
    <w:basedOn w:val="Normal"/>
    <w:rPr>
      <w:rFonts w:ascii="Tahoma" w:hAnsi="Tahoma" w:cs="Tahoma"/>
      <w:sz w:val="16"/>
      <w:szCs w:val="16"/>
    </w:rPr>
  </w:style>
  <w:style w:type="paragraph" w:styleId="NombreDeCV" w:customStyle="1">
    <w:name w:val="NombreDeCV"/>
    <w:basedOn w:val="Normal"/>
    <w:pPr>
      <w:keepNext/>
      <w:pageBreakBefore/>
      <w:spacing w:before="240" w:after="240"/>
      <w:jc w:val="center"/>
      <w:outlineLvl w:val="4"/>
    </w:pPr>
    <w:rPr>
      <w:b/>
      <w:smallCaps/>
      <w:sz w:val="32"/>
      <w:lang w:val="en-GB"/>
    </w:rPr>
  </w:style>
  <w:style w:type="paragraph" w:styleId="TituloCV" w:customStyle="1">
    <w:name w:val="TituloCV"/>
    <w:basedOn w:val="Normal"/>
    <w:pPr>
      <w:spacing w:before="180" w:after="240"/>
      <w:jc w:val="center"/>
    </w:pPr>
    <w:rPr>
      <w:i/>
      <w:sz w:val="28"/>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spacing w:before="40" w:after="40"/>
    </w:pPr>
  </w:style>
  <w:style w:type="character" w:styleId="Nmerodepgina">
    <w:name w:val="page number"/>
    <w:basedOn w:val="Fuentedeprrafopredeter"/>
  </w:style>
  <w:style w:type="character" w:styleId="Fuerte">
    <w:name w:val="Strong"/>
    <w:rPr>
      <w:b/>
      <w:bCs/>
    </w:rPr>
  </w:style>
  <w:style w:type="paragraph" w:styleId="TablaNmeros" w:customStyle="1">
    <w:name w:val="Tabla Números"/>
    <w:basedOn w:val="Normal"/>
    <w:pPr>
      <w:spacing w:before="20" w:after="20"/>
      <w:ind w:left="28" w:right="28"/>
      <w:jc w:val="right"/>
    </w:pPr>
    <w:rPr>
      <w:sz w:val="18"/>
      <w:szCs w:val="20"/>
    </w:rPr>
  </w:style>
  <w:style w:type="paragraph" w:styleId="TDC1">
    <w:name w:val="toc 1"/>
    <w:basedOn w:val="Normal"/>
    <w:next w:val="Normal"/>
    <w:autoRedefine/>
    <w:uiPriority w:val="39"/>
    <w:pPr>
      <w:spacing w:before="120" w:after="0"/>
      <w:jc w:val="left"/>
    </w:pPr>
    <w:rPr>
      <w:rFonts w:ascii="Calibri" w:hAnsi="Calibri" w:cs="Calibri"/>
      <w:b/>
      <w:bCs/>
      <w:i/>
      <w:iCs/>
      <w:sz w:val="24"/>
    </w:rPr>
  </w:style>
  <w:style w:type="paragraph" w:styleId="TDC2">
    <w:name w:val="toc 2"/>
    <w:basedOn w:val="Normal"/>
    <w:next w:val="Normal"/>
    <w:autoRedefine/>
    <w:pPr>
      <w:spacing w:before="120" w:after="0"/>
      <w:ind w:left="220"/>
      <w:jc w:val="left"/>
    </w:pPr>
    <w:rPr>
      <w:rFonts w:ascii="Calibri" w:hAnsi="Calibri" w:cs="Calibri"/>
      <w:b/>
      <w:bCs/>
      <w:szCs w:val="22"/>
    </w:rPr>
  </w:style>
  <w:style w:type="paragraph" w:styleId="Textosinformato">
    <w:name w:val="Plain Text"/>
    <w:basedOn w:val="Normal"/>
  </w:style>
  <w:style w:type="paragraph" w:styleId="Textonotapie">
    <w:name w:val="footnote text"/>
    <w:basedOn w:val="Normal"/>
    <w:pPr>
      <w:spacing w:after="60"/>
      <w:jc w:val="left"/>
    </w:pPr>
    <w:rPr>
      <w:sz w:val="18"/>
      <w:szCs w:val="20"/>
    </w:rPr>
  </w:style>
  <w:style w:type="character" w:styleId="Refdenotaalpie">
    <w:name w:val="footnote reference"/>
    <w:rPr>
      <w:position w:val="0"/>
      <w:vertAlign w:val="superscript"/>
    </w:rPr>
  </w:style>
  <w:style w:type="character" w:styleId="Hipervnculo">
    <w:name w:val="Hyperlink"/>
    <w:uiPriority w:val="99"/>
    <w:rPr>
      <w:color w:val="0000FF"/>
      <w:u w:val="single"/>
    </w:rPr>
  </w:style>
  <w:style w:type="paragraph" w:styleId="Lista">
    <w:name w:val="List"/>
    <w:basedOn w:val="Normal"/>
    <w:pPr>
      <w:ind w:left="283" w:hanging="283"/>
    </w:pPr>
  </w:style>
  <w:style w:type="paragraph" w:styleId="Listaconvietas">
    <w:name w:val="List Bullet"/>
    <w:basedOn w:val="Normal"/>
    <w:pPr>
      <w:numPr>
        <w:numId w:val="9"/>
      </w:numPr>
    </w:pPr>
  </w:style>
  <w:style w:type="paragraph" w:styleId="Listaconvietas2">
    <w:name w:val="List Bullet 2"/>
    <w:basedOn w:val="Normal"/>
    <w:pPr>
      <w:numPr>
        <w:numId w:val="10"/>
      </w:numPr>
    </w:pPr>
  </w:style>
  <w:style w:type="paragraph" w:styleId="Listaconvietas3">
    <w:name w:val="List Bullet 3"/>
    <w:basedOn w:val="Normal"/>
    <w:pPr>
      <w:numPr>
        <w:numId w:val="11"/>
      </w:numPr>
    </w:pPr>
  </w:style>
  <w:style w:type="paragraph" w:styleId="Descripcin">
    <w:name w:val="caption"/>
    <w:basedOn w:val="Normal"/>
    <w:next w:val="Normal"/>
    <w:pPr>
      <w:keepNext/>
      <w:spacing w:before="240"/>
    </w:pPr>
    <w:rPr>
      <w:b/>
      <w:bCs/>
      <w:szCs w:val="20"/>
    </w:rPr>
  </w:style>
  <w:style w:type="paragraph" w:styleId="Sangradetextonormal">
    <w:name w:val="Body Text Indent"/>
    <w:basedOn w:val="Normal"/>
    <w:pPr>
      <w:ind w:left="283"/>
    </w:pPr>
  </w:style>
  <w:style w:type="paragraph" w:styleId="Prrafodelista">
    <w:name w:val="List Paragraph"/>
    <w:basedOn w:val="Normal"/>
    <w:pPr>
      <w:spacing w:before="0" w:after="80"/>
    </w:pPr>
    <w:rPr>
      <w:rFonts w:eastAsia="Calibri"/>
      <w:szCs w:val="22"/>
      <w:lang w:val="es-ES" w:eastAsia="en-US"/>
    </w:rPr>
  </w:style>
  <w:style w:type="character" w:styleId="NotedebasdepageCar" w:customStyle="1">
    <w:name w:val="Note de bas de page Car"/>
    <w:rPr>
      <w:rFonts w:ascii="Calibri" w:hAnsi="Calibri"/>
      <w:sz w:val="18"/>
      <w:lang w:val="es-ES_tradnl" w:eastAsia="es-ES_tradnl"/>
    </w:rPr>
  </w:style>
  <w:style w:type="paragraph" w:styleId="TablaNumeros" w:customStyle="1">
    <w:name w:val="TablaNumeros"/>
    <w:basedOn w:val="Normal"/>
    <w:pPr>
      <w:spacing w:before="40" w:after="40"/>
      <w:jc w:val="right"/>
    </w:pPr>
    <w:rPr>
      <w:sz w:val="20"/>
    </w:rPr>
  </w:style>
  <w:style w:type="paragraph" w:styleId="TablaTexto" w:customStyle="1">
    <w:name w:val="TablaTexto"/>
    <w:basedOn w:val="Normal"/>
    <w:autoRedefine/>
    <w:pPr>
      <w:widowControl w:val="0"/>
      <w:autoSpaceDE w:val="0"/>
      <w:spacing w:after="60"/>
      <w:jc w:val="left"/>
    </w:pPr>
    <w:rPr>
      <w:rFonts w:eastAsia="Calibri" w:cs="Arial"/>
      <w:lang w:val="fr-FR"/>
    </w:rPr>
  </w:style>
  <w:style w:type="character" w:styleId="CommentaireCar" w:customStyle="1">
    <w:name w:val="Commentaire Car"/>
    <w:basedOn w:val="Fuentedeprrafopredeter"/>
    <w:rPr>
      <w:rFonts w:ascii="Calibri" w:hAnsi="Calibri"/>
      <w:lang w:val="es-ES_tradnl" w:eastAsia="es-ES_tradnl"/>
    </w:rPr>
  </w:style>
  <w:style w:type="paragraph" w:styleId="Revisin">
    <w:name w:val="Revision"/>
    <w:pPr>
      <w:suppressAutoHyphens/>
    </w:pPr>
    <w:rPr>
      <w:rFonts w:ascii="Calibri" w:hAnsi="Calibri"/>
      <w:sz w:val="22"/>
      <w:szCs w:val="24"/>
      <w:lang w:val="es-ES_tradnl" w:eastAsia="es-ES_tradnl"/>
    </w:rPr>
  </w:style>
  <w:style w:type="character" w:styleId="Mencinsinresolver1" w:customStyle="1">
    <w:name w:val="Mención sin resolver1"/>
    <w:basedOn w:val="Fuentedeprrafopredeter"/>
    <w:rPr>
      <w:color w:val="605E5C"/>
      <w:shd w:val="clear" w:color="auto" w:fill="E1DFDD"/>
    </w:rPr>
  </w:style>
  <w:style w:type="character" w:styleId="Hipervnculovisitado">
    <w:name w:val="FollowedHyperlink"/>
    <w:basedOn w:val="Fuentedeprrafopredeter"/>
    <w:rPr>
      <w:color w:val="800080"/>
      <w:u w:val="single"/>
    </w:rPr>
  </w:style>
  <w:style w:type="paragraph" w:styleId="TablaTitulo" w:customStyle="1">
    <w:name w:val="TablaTitulo"/>
    <w:basedOn w:val="TablaTexto"/>
    <w:pPr>
      <w:keepNext/>
      <w:jc w:val="center"/>
    </w:pPr>
    <w:rPr>
      <w:b/>
      <w:bCs/>
    </w:rPr>
  </w:style>
  <w:style w:type="paragraph" w:styleId="Default" w:customStyle="1">
    <w:name w:val="Default"/>
    <w:pPr>
      <w:suppressAutoHyphens/>
      <w:autoSpaceDE w:val="0"/>
    </w:pPr>
    <w:rPr>
      <w:color w:val="000000"/>
      <w:sz w:val="24"/>
      <w:szCs w:val="24"/>
    </w:rPr>
  </w:style>
  <w:style w:type="paragraph" w:styleId="Textoindependiente">
    <w:name w:val="Body Text"/>
    <w:basedOn w:val="Normal"/>
  </w:style>
  <w:style w:type="character" w:styleId="CorpsdetexteCar" w:customStyle="1">
    <w:name w:val="Corps de texte Car"/>
    <w:basedOn w:val="Fuentedeprrafopredeter"/>
    <w:rPr>
      <w:rFonts w:ascii="Calibri" w:hAnsi="Calibri"/>
      <w:sz w:val="22"/>
      <w:szCs w:val="24"/>
      <w:lang w:val="es-ES_tradnl" w:eastAsia="es-ES_tradnl"/>
    </w:rPr>
  </w:style>
  <w:style w:type="paragraph" w:styleId="TextoEnDibujos" w:customStyle="1">
    <w:name w:val="TextoEnDibujos"/>
    <w:basedOn w:val="Sinespaciado"/>
    <w:pPr>
      <w:jc w:val="center"/>
    </w:pPr>
    <w:rPr>
      <w:rFonts w:eastAsia="Calibri"/>
      <w:sz w:val="20"/>
      <w:szCs w:val="22"/>
      <w:lang w:val="es-ES" w:eastAsia="en-US"/>
    </w:rPr>
  </w:style>
  <w:style w:type="character" w:styleId="TextoEnDibujosCar" w:customStyle="1">
    <w:name w:val="TextoEnDibujos Car"/>
    <w:basedOn w:val="Fuentedeprrafopredeter"/>
    <w:rPr>
      <w:rFonts w:ascii="Calibri" w:hAnsi="Calibri" w:eastAsia="Calibri"/>
      <w:szCs w:val="22"/>
      <w:lang w:eastAsia="en-US"/>
    </w:rPr>
  </w:style>
  <w:style w:type="paragraph" w:styleId="Sinespaciado">
    <w:name w:val="No Spacing"/>
    <w:pPr>
      <w:suppressAutoHyphens/>
      <w:jc w:val="both"/>
    </w:pPr>
    <w:rPr>
      <w:rFonts w:ascii="Calibri" w:hAnsi="Calibri"/>
      <w:sz w:val="22"/>
      <w:szCs w:val="24"/>
      <w:lang w:val="es-ES_tradnl" w:eastAsia="es-ES_tradnl"/>
    </w:rPr>
  </w:style>
  <w:style w:type="paragraph" w:styleId="TDC3">
    <w:name w:val="toc 3"/>
    <w:basedOn w:val="Normal"/>
    <w:next w:val="Normal"/>
    <w:autoRedefine/>
    <w:pPr>
      <w:spacing w:before="0" w:after="0"/>
      <w:ind w:left="440"/>
      <w:jc w:val="left"/>
    </w:pPr>
    <w:rPr>
      <w:rFonts w:ascii="Calibri" w:hAnsi="Calibri" w:cs="Calibri"/>
      <w:sz w:val="20"/>
      <w:szCs w:val="20"/>
    </w:rPr>
  </w:style>
  <w:style w:type="paragraph" w:styleId="TDC4">
    <w:name w:val="toc 4"/>
    <w:basedOn w:val="Normal"/>
    <w:next w:val="Normal"/>
    <w:autoRedefine/>
    <w:pPr>
      <w:spacing w:before="0" w:after="0"/>
      <w:ind w:left="660"/>
      <w:jc w:val="left"/>
    </w:pPr>
    <w:rPr>
      <w:rFonts w:ascii="Calibri" w:hAnsi="Calibri" w:cs="Calibri"/>
      <w:sz w:val="20"/>
      <w:szCs w:val="20"/>
    </w:rPr>
  </w:style>
  <w:style w:type="paragraph" w:styleId="TDC5">
    <w:name w:val="toc 5"/>
    <w:basedOn w:val="Normal"/>
    <w:next w:val="Normal"/>
    <w:autoRedefine/>
    <w:pPr>
      <w:spacing w:before="0" w:after="0"/>
      <w:ind w:left="880"/>
      <w:jc w:val="left"/>
    </w:pPr>
    <w:rPr>
      <w:rFonts w:ascii="Calibri" w:hAnsi="Calibri" w:cs="Calibri"/>
      <w:sz w:val="20"/>
      <w:szCs w:val="20"/>
    </w:rPr>
  </w:style>
  <w:style w:type="paragraph" w:styleId="FuentesDatos" w:customStyle="1">
    <w:name w:val="FuentesDatos"/>
    <w:basedOn w:val="Normal"/>
    <w:rPr>
      <w:b/>
      <w:bCs/>
      <w:color w:val="984806"/>
      <w:sz w:val="20"/>
      <w:szCs w:val="22"/>
      <w:u w:val="single"/>
    </w:rPr>
  </w:style>
  <w:style w:type="character" w:styleId="FuentesDatosCar" w:customStyle="1">
    <w:name w:val="FuentesDatos Car"/>
    <w:basedOn w:val="Fuentedeprrafopredeter"/>
    <w:rPr>
      <w:rFonts w:ascii="Calibri" w:hAnsi="Calibri"/>
      <w:b/>
      <w:bCs/>
      <w:color w:val="984806"/>
      <w:szCs w:val="22"/>
      <w:u w:val="single"/>
      <w:lang w:val="es-ES_tradnl" w:eastAsia="es-ES_tradnl"/>
    </w:rPr>
  </w:style>
  <w:style w:type="paragraph" w:styleId="GrficoNumeroOrden" w:customStyle="1">
    <w:name w:val="GráficoNumeroOrden"/>
    <w:basedOn w:val="Normal"/>
    <w:pPr>
      <w:keepNext/>
      <w:numPr>
        <w:numId w:val="12"/>
      </w:numPr>
      <w:tabs>
        <w:tab w:val="left" w:pos="-4101"/>
      </w:tabs>
      <w:spacing w:before="240"/>
      <w:jc w:val="left"/>
    </w:pPr>
    <w:rPr>
      <w:rFonts w:eastAsia="Calibri"/>
      <w:b/>
      <w:sz w:val="20"/>
      <w:szCs w:val="22"/>
      <w:lang w:val="es-ES" w:eastAsia="en-US"/>
    </w:rPr>
  </w:style>
  <w:style w:type="character" w:styleId="RetraitcorpsdetexteCar" w:customStyle="1">
    <w:name w:val="Retrait corps de texte Car"/>
    <w:basedOn w:val="Fuentedeprrafopredeter"/>
    <w:rPr>
      <w:rFonts w:ascii="Calibri" w:hAnsi="Calibri"/>
      <w:sz w:val="22"/>
      <w:szCs w:val="24"/>
      <w:lang w:val="es-ES_tradnl" w:eastAsia="es-ES_tradnl"/>
    </w:rPr>
  </w:style>
  <w:style w:type="paragraph" w:styleId="TablaNmeroOrden" w:customStyle="1">
    <w:name w:val="TablaNúmeroOrden"/>
    <w:basedOn w:val="Normal"/>
    <w:pPr>
      <w:keepNext/>
      <w:numPr>
        <w:numId w:val="13"/>
      </w:numPr>
      <w:tabs>
        <w:tab w:val="left" w:pos="-1527"/>
      </w:tabs>
      <w:spacing w:before="180" w:after="60"/>
    </w:pPr>
    <w:rPr>
      <w:rFonts w:eastAsia="Calibri"/>
      <w:b/>
      <w:sz w:val="20"/>
      <w:szCs w:val="20"/>
      <w:lang w:val="es-ES" w:eastAsia="en-US"/>
    </w:rPr>
  </w:style>
  <w:style w:type="paragraph" w:styleId="Fuente" w:customStyle="1">
    <w:name w:val="Fuente"/>
    <w:basedOn w:val="Normal"/>
    <w:next w:val="Normal"/>
    <w:pPr>
      <w:spacing w:before="0" w:after="240"/>
      <w:jc w:val="left"/>
    </w:pPr>
    <w:rPr>
      <w:rFonts w:eastAsia="Calibri"/>
      <w:i/>
      <w:sz w:val="18"/>
      <w:szCs w:val="22"/>
      <w:lang w:val="es-ES" w:eastAsia="en-US"/>
    </w:rPr>
  </w:style>
  <w:style w:type="paragraph" w:styleId="Cita">
    <w:name w:val="Quote"/>
    <w:basedOn w:val="Normal"/>
    <w:next w:val="Normal"/>
    <w:pPr>
      <w:spacing w:before="200" w:after="160"/>
      <w:ind w:left="864" w:right="864"/>
      <w:jc w:val="center"/>
    </w:pPr>
    <w:rPr>
      <w:i/>
      <w:iCs/>
      <w:color w:val="404040"/>
    </w:rPr>
  </w:style>
  <w:style w:type="character" w:styleId="CitationCar" w:customStyle="1">
    <w:name w:val="Citation Car"/>
    <w:basedOn w:val="Fuentedeprrafopredeter"/>
    <w:rPr>
      <w:rFonts w:ascii="Calibri" w:hAnsi="Calibri"/>
      <w:i/>
      <w:iCs/>
      <w:color w:val="404040"/>
      <w:sz w:val="22"/>
      <w:szCs w:val="24"/>
      <w:lang w:val="es-ES_tradnl" w:eastAsia="es-ES_tradnl"/>
    </w:rPr>
  </w:style>
  <w:style w:type="character" w:styleId="Titre9Car" w:customStyle="1">
    <w:name w:val="Titre 9 Car"/>
    <w:basedOn w:val="Fuentedeprrafopredeter"/>
    <w:rPr>
      <w:rFonts w:ascii="Cambria" w:hAnsi="Cambria" w:eastAsia="MS Gothic" w:cs="Times New Roman"/>
      <w:i/>
      <w:iCs/>
      <w:color w:val="272727"/>
      <w:sz w:val="21"/>
      <w:szCs w:val="21"/>
      <w:lang w:bidi="es-ES"/>
    </w:rPr>
  </w:style>
  <w:style w:type="character" w:styleId="ParagraphedelisteCar" w:customStyle="1">
    <w:name w:val="Paragraphe de liste Car"/>
    <w:basedOn w:val="Fuentedeprrafopredeter"/>
    <w:rPr>
      <w:rFonts w:ascii="Calibri Light" w:hAnsi="Calibri Light" w:eastAsia="Calibri"/>
      <w:sz w:val="22"/>
      <w:szCs w:val="22"/>
      <w:lang w:eastAsia="en-US"/>
    </w:rPr>
  </w:style>
  <w:style w:type="character" w:styleId="Text1Char" w:customStyle="1">
    <w:name w:val="Text 1 Char"/>
    <w:rPr>
      <w:sz w:val="24"/>
    </w:rPr>
  </w:style>
  <w:style w:type="paragraph" w:styleId="Text1" w:customStyle="1">
    <w:name w:val="Text 1"/>
    <w:basedOn w:val="Normal"/>
    <w:pPr>
      <w:spacing w:before="120"/>
      <w:ind w:left="850"/>
    </w:pPr>
    <w:rPr>
      <w:rFonts w:ascii="Times New Roman" w:hAnsi="Times New Roman"/>
      <w:sz w:val="24"/>
      <w:szCs w:val="20"/>
      <w:lang w:val="es-ES" w:eastAsia="es-ES"/>
    </w:rPr>
  </w:style>
  <w:style w:type="paragraph" w:styleId="Text3" w:customStyle="1">
    <w:name w:val="Text 3"/>
    <w:basedOn w:val="Normal"/>
    <w:pPr>
      <w:spacing w:before="120"/>
      <w:ind w:left="1984"/>
    </w:pPr>
    <w:rPr>
      <w:rFonts w:ascii="Times New Roman" w:hAnsi="Times New Roman" w:eastAsia="Calibri"/>
      <w:sz w:val="24"/>
      <w:szCs w:val="22"/>
      <w:lang w:val="es-ES" w:eastAsia="es-ES" w:bidi="es-ES"/>
    </w:rPr>
  </w:style>
  <w:style w:type="character" w:styleId="nfasisintenso">
    <w:name w:val="Intense Emphasis"/>
    <w:basedOn w:val="Fuentedeprrafopredeter"/>
    <w:rPr>
      <w:i/>
      <w:iCs/>
      <w:color w:val="4F81BD"/>
    </w:rPr>
  </w:style>
  <w:style w:type="character" w:styleId="Titre7Car" w:customStyle="1">
    <w:name w:val="Titre 7 Car"/>
    <w:basedOn w:val="Fuentedeprrafopredeter"/>
    <w:rPr>
      <w:rFonts w:ascii="Calibri" w:hAnsi="Calibri"/>
      <w:sz w:val="22"/>
      <w:szCs w:val="24"/>
      <w:u w:val="single"/>
      <w:lang w:eastAsia="es-ES_tradnl"/>
    </w:rPr>
  </w:style>
  <w:style w:type="paragraph" w:styleId="CuadroNmero" w:customStyle="1">
    <w:name w:val="CuadroNúmero"/>
    <w:basedOn w:val="TablaNmeroOrden"/>
    <w:pPr>
      <w:numPr>
        <w:numId w:val="14"/>
      </w:numPr>
    </w:pPr>
  </w:style>
  <w:style w:type="paragraph" w:styleId="TDC6">
    <w:name w:val="toc 6"/>
    <w:basedOn w:val="Normal"/>
    <w:next w:val="Normal"/>
    <w:autoRedefine/>
    <w:pPr>
      <w:spacing w:before="0" w:after="0"/>
      <w:ind w:left="1100"/>
      <w:jc w:val="left"/>
    </w:pPr>
    <w:rPr>
      <w:rFonts w:ascii="Calibri" w:hAnsi="Calibri" w:cs="Calibri"/>
      <w:sz w:val="20"/>
      <w:szCs w:val="20"/>
    </w:rPr>
  </w:style>
  <w:style w:type="character" w:styleId="TablaNmeroOrdenCar" w:customStyle="1">
    <w:name w:val="TablaNúmeroOrden Car"/>
    <w:basedOn w:val="Fuentedeprrafopredeter"/>
    <w:rPr>
      <w:rFonts w:ascii="Calibri Light" w:hAnsi="Calibri Light" w:eastAsia="Calibri"/>
      <w:b/>
      <w:lang w:eastAsia="en-US"/>
    </w:rPr>
  </w:style>
  <w:style w:type="character" w:styleId="CuadroNmeroCar" w:customStyle="1">
    <w:name w:val="CuadroNúmero Car"/>
    <w:basedOn w:val="TablaNmeroOrdenCar"/>
    <w:rPr>
      <w:rFonts w:ascii="Calibri Light" w:hAnsi="Calibri Light" w:eastAsia="Calibri"/>
      <w:b/>
      <w:lang w:eastAsia="en-US"/>
    </w:rPr>
  </w:style>
  <w:style w:type="paragraph" w:styleId="TDC7">
    <w:name w:val="toc 7"/>
    <w:basedOn w:val="Normal"/>
    <w:next w:val="Normal"/>
    <w:autoRedefine/>
    <w:pPr>
      <w:spacing w:before="0" w:after="0"/>
      <w:ind w:left="1320"/>
      <w:jc w:val="left"/>
    </w:pPr>
    <w:rPr>
      <w:rFonts w:ascii="Calibri" w:hAnsi="Calibri" w:cs="Calibri"/>
      <w:sz w:val="20"/>
      <w:szCs w:val="20"/>
    </w:rPr>
  </w:style>
  <w:style w:type="paragraph" w:styleId="TDC8">
    <w:name w:val="toc 8"/>
    <w:basedOn w:val="Normal"/>
    <w:next w:val="Normal"/>
    <w:autoRedefine/>
    <w:pPr>
      <w:spacing w:before="0" w:after="0"/>
      <w:ind w:left="1540"/>
      <w:jc w:val="left"/>
    </w:pPr>
    <w:rPr>
      <w:rFonts w:ascii="Calibri" w:hAnsi="Calibri" w:cs="Calibri"/>
      <w:sz w:val="20"/>
      <w:szCs w:val="20"/>
    </w:rPr>
  </w:style>
  <w:style w:type="paragraph" w:styleId="TDC9">
    <w:name w:val="toc 9"/>
    <w:basedOn w:val="Normal"/>
    <w:next w:val="Normal"/>
    <w:autoRedefine/>
    <w:pPr>
      <w:spacing w:before="0" w:after="0"/>
      <w:ind w:left="1760"/>
      <w:jc w:val="left"/>
    </w:pPr>
    <w:rPr>
      <w:rFonts w:ascii="Calibri" w:hAnsi="Calibri" w:cs="Calibri"/>
      <w:sz w:val="20"/>
      <w:szCs w:val="20"/>
    </w:rPr>
  </w:style>
  <w:style w:type="character" w:styleId="PieddepageCar" w:customStyle="1">
    <w:name w:val="Pied de page Car"/>
    <w:basedOn w:val="Fuentedeprrafopredeter"/>
    <w:rPr>
      <w:rFonts w:ascii="Calibri" w:hAnsi="Calibri"/>
      <w:sz w:val="22"/>
      <w:szCs w:val="24"/>
      <w:lang w:val="es-ES_tradnl" w:eastAsia="es-ES_tradnl"/>
    </w:rPr>
  </w:style>
  <w:style w:type="paragraph" w:styleId="TableParagraph" w:customStyle="1">
    <w:name w:val="Table Paragraph"/>
    <w:basedOn w:val="Normal"/>
    <w:pPr>
      <w:widowControl w:val="0"/>
      <w:autoSpaceDE w:val="0"/>
      <w:spacing w:before="0" w:after="0"/>
      <w:jc w:val="left"/>
    </w:pPr>
    <w:rPr>
      <w:rFonts w:ascii="Times New Roman" w:hAnsi="Times New Roman"/>
      <w:szCs w:val="22"/>
      <w:lang w:val="en-US" w:eastAsia="en-US" w:bidi="en-US"/>
    </w:rPr>
  </w:style>
  <w:style w:type="character" w:styleId="Titre3Car" w:customStyle="1">
    <w:name w:val="Titre 3 Car"/>
    <w:basedOn w:val="Fuentedeprrafopredeter"/>
    <w:rPr>
      <w:rFonts w:ascii="Calibri Light" w:hAnsi="Calibri Light" w:eastAsia="Calibri" w:cs="Arial"/>
      <w:b/>
      <w:bCs/>
      <w:sz w:val="22"/>
      <w:szCs w:val="22"/>
      <w:lang w:eastAsia="en-US"/>
    </w:rPr>
  </w:style>
  <w:style w:type="character" w:styleId="Titre6Car" w:customStyle="1">
    <w:name w:val="Titre 6 Car"/>
    <w:basedOn w:val="Fuentedeprrafopredeter"/>
    <w:rPr>
      <w:rFonts w:ascii="Calibri Light" w:hAnsi="Calibri Light" w:eastAsia="Calibri" w:cs="Arial"/>
      <w:b/>
      <w:bCs/>
      <w:sz w:val="22"/>
      <w:szCs w:val="22"/>
      <w:lang w:eastAsia="en-US"/>
    </w:rPr>
  </w:style>
  <w:style w:type="character" w:styleId="Titre1Car" w:customStyle="1">
    <w:name w:val="Titre 1 Car"/>
    <w:basedOn w:val="Fuentedeprrafopredeter"/>
    <w:rPr>
      <w:rFonts w:ascii="Calibri Light" w:hAnsi="Calibri Light" w:eastAsia="Calibri" w:cs="Arial"/>
      <w:b/>
      <w:bCs/>
      <w:color w:val="93D050"/>
      <w:sz w:val="24"/>
      <w:szCs w:val="22"/>
      <w:lang w:eastAsia="en-US"/>
    </w:rPr>
  </w:style>
  <w:style w:type="character" w:styleId="Titre2Car" w:customStyle="1">
    <w:name w:val="Titre 2 Car"/>
    <w:basedOn w:val="Fuentedeprrafopredeter"/>
    <w:rPr>
      <w:rFonts w:ascii="Calibri Light" w:hAnsi="Calibri Light" w:eastAsia="Calibri" w:cs="Arial"/>
      <w:b/>
      <w:bCs/>
      <w:color w:val="000000"/>
      <w:sz w:val="22"/>
      <w:szCs w:val="22"/>
      <w:lang w:eastAsia="en-US"/>
    </w:rPr>
  </w:style>
  <w:style w:type="character" w:styleId="Titre4Car" w:customStyle="1">
    <w:name w:val="Titre 4 Car"/>
    <w:basedOn w:val="Fuentedeprrafopredeter"/>
    <w:rPr>
      <w:rFonts w:ascii="Calibri Light" w:hAnsi="Calibri Light" w:eastAsia="Calibri" w:cs="Arial"/>
      <w:b/>
      <w:bCs/>
      <w:sz w:val="22"/>
      <w:szCs w:val="22"/>
      <w:lang w:eastAsia="en-US"/>
    </w:rPr>
  </w:style>
  <w:style w:type="character" w:styleId="Titre5Car" w:customStyle="1">
    <w:name w:val="Titre 5 Car"/>
    <w:basedOn w:val="Fuentedeprrafopredeter"/>
    <w:rPr>
      <w:rFonts w:ascii="Calibri Light" w:hAnsi="Calibri Light" w:eastAsia="Calibri" w:cs="Arial"/>
      <w:b/>
      <w:bCs/>
      <w:sz w:val="22"/>
      <w:szCs w:val="22"/>
      <w:lang w:eastAsia="en-US"/>
    </w:rPr>
  </w:style>
  <w:style w:type="character" w:styleId="Titre8Car" w:customStyle="1">
    <w:name w:val="Titre 8 Car"/>
    <w:basedOn w:val="Fuentedeprrafopredeter"/>
    <w:rPr>
      <w:i/>
      <w:iCs/>
      <w:sz w:val="24"/>
      <w:szCs w:val="24"/>
      <w:lang w:val="es-ES_tradnl" w:eastAsia="es-ES_tradnl"/>
    </w:rPr>
  </w:style>
  <w:style w:type="character" w:styleId="ExplorateurdedocumentsCar" w:customStyle="1">
    <w:name w:val="Explorateur de documents Car"/>
    <w:basedOn w:val="Fuentedeprrafopredeter"/>
    <w:rPr>
      <w:rFonts w:ascii="Tahoma" w:hAnsi="Tahoma" w:cs="Tahoma"/>
      <w:sz w:val="22"/>
      <w:szCs w:val="24"/>
      <w:shd w:val="clear" w:color="auto" w:fill="000080"/>
      <w:lang w:val="es-ES_tradnl" w:eastAsia="es-ES_tradnl"/>
    </w:rPr>
  </w:style>
  <w:style w:type="character" w:styleId="ObjetducommentaireCar" w:customStyle="1">
    <w:name w:val="Objet du commentaire Car"/>
    <w:basedOn w:val="CommentaireCar"/>
    <w:rPr>
      <w:rFonts w:ascii="Calibri" w:hAnsi="Calibri"/>
      <w:b/>
      <w:bCs/>
      <w:lang w:val="es-ES_tradnl" w:eastAsia="es-ES_tradnl"/>
    </w:rPr>
  </w:style>
  <w:style w:type="character" w:styleId="TextedebullesCar" w:customStyle="1">
    <w:name w:val="Texte de bulles Car"/>
    <w:basedOn w:val="Fuentedeprrafopredeter"/>
    <w:rPr>
      <w:rFonts w:ascii="Tahoma" w:hAnsi="Tahoma" w:cs="Tahoma"/>
      <w:sz w:val="16"/>
      <w:szCs w:val="16"/>
      <w:lang w:val="es-ES_tradnl" w:eastAsia="es-ES_tradnl"/>
    </w:rPr>
  </w:style>
  <w:style w:type="character" w:styleId="En-tteCar" w:customStyle="1">
    <w:name w:val="En-tête Car"/>
    <w:basedOn w:val="Fuentedeprrafopredeter"/>
    <w:rPr>
      <w:rFonts w:ascii="Calibri" w:hAnsi="Calibri"/>
      <w:sz w:val="22"/>
      <w:szCs w:val="24"/>
      <w:lang w:val="es-ES_tradnl" w:eastAsia="es-ES_tradnl"/>
    </w:rPr>
  </w:style>
  <w:style w:type="character" w:styleId="TextebrutCar" w:customStyle="1">
    <w:name w:val="Texte brut Car"/>
    <w:basedOn w:val="Fuentedeprrafopredeter"/>
    <w:rPr>
      <w:rFonts w:ascii="Calibri" w:hAnsi="Calibri"/>
      <w:sz w:val="22"/>
      <w:szCs w:val="24"/>
      <w:lang w:val="es-ES_tradnl" w:eastAsia="es-ES_tradnl"/>
    </w:rPr>
  </w:style>
  <w:style w:type="character" w:styleId="fontstyle01" w:customStyle="1">
    <w:name w:val="fontstyle01"/>
    <w:basedOn w:val="Fuentedeprrafopredeter"/>
    <w:rPr>
      <w:rFonts w:ascii="Times New Roman" w:hAnsi="Times New Roman" w:cs="Times New Roman"/>
      <w:b w:val="0"/>
      <w:bCs w:val="0"/>
      <w:i w:val="0"/>
      <w:iCs w:val="0"/>
      <w:color w:val="000000"/>
      <w:sz w:val="20"/>
      <w:szCs w:val="20"/>
    </w:rPr>
  </w:style>
  <w:style w:type="character" w:styleId="fontstyle21" w:customStyle="1">
    <w:name w:val="fontstyle21"/>
    <w:basedOn w:val="Fuentedeprrafopredeter"/>
    <w:rPr>
      <w:rFonts w:ascii="Times New Roman" w:hAnsi="Times New Roman" w:cs="Times New Roman"/>
      <w:b/>
      <w:bCs/>
      <w:i w:val="0"/>
      <w:iCs w:val="0"/>
      <w:color w:val="000000"/>
      <w:sz w:val="20"/>
      <w:szCs w:val="20"/>
    </w:rPr>
  </w:style>
  <w:style w:type="character" w:styleId="Mencinsinresolver11" w:customStyle="1">
    <w:name w:val="Mención sin resolver11"/>
    <w:basedOn w:val="Fuentedeprrafopredeter"/>
    <w:rPr>
      <w:color w:val="605E5C"/>
      <w:shd w:val="clear" w:color="auto" w:fill="E1DFDD"/>
    </w:rPr>
  </w:style>
  <w:style w:type="paragraph" w:styleId="TtuloTDC">
    <w:name w:val="TOC Heading"/>
    <w:basedOn w:val="Ttulo1"/>
    <w:next w:val="Normal"/>
    <w:pPr>
      <w:keepLines/>
      <w:pBdr>
        <w:bottom w:val="none" w:color="auto" w:sz="0" w:space="0"/>
      </w:pBdr>
      <w:spacing w:before="240" w:after="0" w:line="242" w:lineRule="auto"/>
      <w:jc w:val="left"/>
    </w:pPr>
    <w:rPr>
      <w:rFonts w:ascii="Cambria" w:hAnsi="Cambria" w:eastAsia="MS Gothic" w:cs="Times New Roman"/>
      <w:b w:val="0"/>
      <w:bCs w:val="0"/>
      <w:color w:val="365F91"/>
      <w:sz w:val="32"/>
      <w:szCs w:val="32"/>
      <w:lang w:eastAsia="es-ES"/>
    </w:rPr>
  </w:style>
  <w:style w:type="character" w:styleId="Mencinsinresolver2" w:customStyle="1">
    <w:name w:val="Mención sin resolver2"/>
    <w:basedOn w:val="Fuentedeprrafopredeter"/>
    <w:rPr>
      <w:color w:val="605E5C"/>
      <w:shd w:val="clear" w:color="auto" w:fill="E1DFDD"/>
    </w:rPr>
  </w:style>
  <w:style w:type="character" w:styleId="Mencinsinresolver21" w:customStyle="1">
    <w:name w:val="Mención sin resolver21"/>
    <w:basedOn w:val="Fuentedeprrafopredeter"/>
    <w:rPr>
      <w:color w:val="605E5C"/>
      <w:shd w:val="clear" w:color="auto" w:fill="E1DFDD"/>
    </w:rPr>
  </w:style>
  <w:style w:type="character" w:styleId="Mencinsinresolver3" w:customStyle="1">
    <w:name w:val="Mención sin resolver3"/>
    <w:basedOn w:val="Fuentedeprrafopredeter"/>
    <w:rPr>
      <w:color w:val="605E5C"/>
      <w:shd w:val="clear" w:color="auto" w:fill="E1DFDD"/>
    </w:rPr>
  </w:style>
  <w:style w:type="character" w:styleId="Ancredenotedebasdepage" w:customStyle="1">
    <w:name w:val="Ancre de note de bas de page"/>
    <w:rPr>
      <w:position w:val="0"/>
      <w:vertAlign w:val="superscript"/>
    </w:rPr>
  </w:style>
  <w:style w:type="character" w:styleId="Caractresdenotedebasdepage" w:customStyle="1">
    <w:name w:val="Caractères de note de bas de page"/>
  </w:style>
  <w:style w:type="paragraph" w:styleId="Subttulo">
    <w:name w:val="Subtitle"/>
    <w:basedOn w:val="Normal"/>
    <w:next w:val="Normal"/>
    <w:uiPriority w:val="11"/>
    <w:qFormat/>
    <w:pPr>
      <w:spacing w:after="160"/>
    </w:pPr>
    <w:rPr>
      <w:rFonts w:eastAsia="MS Mincho" w:cs="Arial"/>
      <w:color w:val="5A5A5A"/>
      <w:spacing w:val="15"/>
      <w:szCs w:val="22"/>
    </w:rPr>
  </w:style>
  <w:style w:type="character" w:styleId="Sous-titreCar" w:customStyle="1">
    <w:name w:val="Sous-titre Car"/>
    <w:basedOn w:val="Fuentedeprrafopredeter"/>
    <w:rPr>
      <w:rFonts w:ascii="Calibri" w:hAnsi="Calibri" w:eastAsia="MS Mincho" w:cs="Arial"/>
      <w:color w:val="5A5A5A"/>
      <w:spacing w:val="15"/>
      <w:sz w:val="22"/>
      <w:szCs w:val="22"/>
      <w:lang w:val="es-ES_tradnl" w:eastAsia="es-ES_tradnl"/>
    </w:rPr>
  </w:style>
  <w:style w:type="character" w:styleId="Mencinsinresolver4" w:customStyle="1">
    <w:name w:val="Mención sin resolver4"/>
    <w:basedOn w:val="Fuentedeprrafopredeter"/>
    <w:rPr>
      <w:color w:val="605E5C"/>
      <w:shd w:val="clear" w:color="auto" w:fill="E1DFDD"/>
    </w:rPr>
  </w:style>
  <w:style w:type="character" w:styleId="fontstyle31" w:customStyle="1">
    <w:name w:val="fontstyle31"/>
    <w:basedOn w:val="Fuentedeprrafopredeter"/>
    <w:rPr>
      <w:rFonts w:ascii="TimesNewRomanPSMT" w:hAnsi="TimesNewRomanPSMT"/>
      <w:b w:val="0"/>
      <w:bCs w:val="0"/>
      <w:i w:val="0"/>
      <w:iCs w:val="0"/>
      <w:color w:val="000000"/>
      <w:sz w:val="22"/>
      <w:szCs w:val="22"/>
    </w:rPr>
  </w:style>
  <w:style w:type="paragraph" w:styleId="Standard" w:customStyle="1">
    <w:name w:val="Standard"/>
    <w:pPr>
      <w:suppressAutoHyphens/>
    </w:pPr>
    <w:rPr>
      <w:rFonts w:ascii="Liberation Serif" w:hAnsi="Liberation Serif" w:eastAsia="NSimSun" w:cs="Lucida Sans"/>
      <w:kern w:val="3"/>
      <w:sz w:val="24"/>
      <w:szCs w:val="24"/>
      <w:lang w:eastAsia="zh-CN" w:bidi="hi-IN"/>
    </w:rPr>
  </w:style>
  <w:style w:type="paragraph" w:styleId="Ttulo">
    <w:name w:val="Title"/>
    <w:basedOn w:val="Normal"/>
    <w:next w:val="Normal"/>
    <w:uiPriority w:val="10"/>
    <w:qFormat/>
    <w:pPr>
      <w:spacing w:before="0" w:after="0"/>
    </w:pPr>
    <w:rPr>
      <w:rFonts w:ascii="Cambria" w:hAnsi="Cambria" w:eastAsia="MS Gothic"/>
      <w:spacing w:val="-10"/>
      <w:kern w:val="3"/>
      <w:sz w:val="56"/>
      <w:szCs w:val="56"/>
    </w:rPr>
  </w:style>
  <w:style w:type="character" w:styleId="TitreCar" w:customStyle="1">
    <w:name w:val="Titre Car"/>
    <w:basedOn w:val="Fuentedeprrafopredeter"/>
    <w:rPr>
      <w:rFonts w:ascii="Cambria" w:hAnsi="Cambria" w:eastAsia="MS Gothic" w:cs="Times New Roman"/>
      <w:spacing w:val="-10"/>
      <w:kern w:val="3"/>
      <w:sz w:val="56"/>
      <w:szCs w:val="56"/>
      <w:lang w:val="es-ES_tradnl" w:eastAsia="es-ES_tradnl"/>
    </w:rPr>
  </w:style>
  <w:style w:type="character" w:styleId="Mencinsinresolver">
    <w:name w:val="Unresolved Mention"/>
    <w:basedOn w:val="Fuentedeprrafopredeter"/>
    <w:rPr>
      <w:color w:val="605E5C"/>
      <w:shd w:val="clear" w:color="auto" w:fill="E1DFDD"/>
    </w:rPr>
  </w:style>
  <w:style w:type="paragraph" w:styleId="standard-ifs" w:customStyle="1">
    <w:name w:val="standard-ifs"/>
    <w:basedOn w:val="Normal"/>
    <w:pPr>
      <w:spacing w:before="100" w:after="100"/>
      <w:jc w:val="left"/>
    </w:pPr>
    <w:rPr>
      <w:rFonts w:ascii="Calibri" w:hAnsi="Calibri" w:eastAsia="Calibri" w:cs="Calibri"/>
      <w:szCs w:val="22"/>
      <w:lang w:val="es-ES" w:eastAsia="es-ES"/>
    </w:rPr>
  </w:style>
  <w:style w:type="paragraph" w:styleId="NormalWeb">
    <w:name w:val="Normal (Web)"/>
    <w:basedOn w:val="Normal"/>
    <w:pPr>
      <w:spacing w:before="100" w:after="100"/>
      <w:jc w:val="left"/>
    </w:pPr>
    <w:rPr>
      <w:rFonts w:ascii="Times New Roman" w:hAnsi="Times New Roman"/>
      <w:sz w:val="24"/>
      <w:lang w:val="es-ES" w:eastAsia="es-ES"/>
    </w:rPr>
  </w:style>
  <w:style w:type="character" w:styleId="markedcontent" w:customStyle="1">
    <w:name w:val="markedcontent"/>
    <w:basedOn w:val="Fuentedeprrafopredeter"/>
  </w:style>
  <w:style w:type="numbering" w:styleId="WWOutlineListStyle5" w:customStyle="1">
    <w:name w:val="WW_OutlineListStyle_5"/>
    <w:basedOn w:val="Sinlista"/>
    <w:pPr>
      <w:numPr>
        <w:numId w:val="2"/>
      </w:numPr>
    </w:pPr>
  </w:style>
  <w:style w:type="numbering" w:styleId="WWOutlineListStyle4" w:customStyle="1">
    <w:name w:val="WW_OutlineListStyle_4"/>
    <w:basedOn w:val="Sinlista"/>
    <w:pPr>
      <w:numPr>
        <w:numId w:val="3"/>
      </w:numPr>
    </w:pPr>
  </w:style>
  <w:style w:type="numbering" w:styleId="WWOutlineListStyle3" w:customStyle="1">
    <w:name w:val="WW_OutlineListStyle_3"/>
    <w:basedOn w:val="Sinlista"/>
    <w:pPr>
      <w:numPr>
        <w:numId w:val="4"/>
      </w:numPr>
    </w:pPr>
  </w:style>
  <w:style w:type="numbering" w:styleId="WWOutlineListStyle2" w:customStyle="1">
    <w:name w:val="WW_OutlineListStyle_2"/>
    <w:basedOn w:val="Sinlista"/>
    <w:pPr>
      <w:numPr>
        <w:numId w:val="5"/>
      </w:numPr>
    </w:pPr>
  </w:style>
  <w:style w:type="numbering" w:styleId="WWOutlineListStyle1" w:customStyle="1">
    <w:name w:val="WW_OutlineListStyle_1"/>
    <w:basedOn w:val="Sinlista"/>
    <w:pPr>
      <w:numPr>
        <w:numId w:val="6"/>
      </w:numPr>
    </w:pPr>
  </w:style>
  <w:style w:type="numbering" w:styleId="WWOutlineListStyle" w:customStyle="1">
    <w:name w:val="WW_OutlineListStyle"/>
    <w:basedOn w:val="Sinlista"/>
    <w:pPr>
      <w:numPr>
        <w:numId w:val="7"/>
      </w:numPr>
    </w:pPr>
  </w:style>
  <w:style w:type="numbering" w:styleId="Medida1" w:customStyle="1">
    <w:name w:val="Medida1"/>
    <w:basedOn w:val="Sinlista"/>
    <w:pPr>
      <w:numPr>
        <w:numId w:val="8"/>
      </w:numPr>
    </w:pPr>
  </w:style>
  <w:style w:type="numbering" w:styleId="LFO1" w:customStyle="1">
    <w:name w:val="LFO1"/>
    <w:basedOn w:val="Sinlista"/>
    <w:pPr>
      <w:numPr>
        <w:numId w:val="9"/>
      </w:numPr>
    </w:pPr>
  </w:style>
  <w:style w:type="numbering" w:styleId="LFO2" w:customStyle="1">
    <w:name w:val="LFO2"/>
    <w:basedOn w:val="Sinlista"/>
    <w:pPr>
      <w:numPr>
        <w:numId w:val="10"/>
      </w:numPr>
    </w:pPr>
  </w:style>
  <w:style w:type="numbering" w:styleId="LFO3" w:customStyle="1">
    <w:name w:val="LFO3"/>
    <w:basedOn w:val="Sinlista"/>
    <w:pPr>
      <w:numPr>
        <w:numId w:val="11"/>
      </w:numPr>
    </w:pPr>
  </w:style>
  <w:style w:type="numbering" w:styleId="LFO7" w:customStyle="1">
    <w:name w:val="LFO7"/>
    <w:basedOn w:val="Sinlista"/>
    <w:pPr>
      <w:numPr>
        <w:numId w:val="12"/>
      </w:numPr>
    </w:pPr>
  </w:style>
  <w:style w:type="numbering" w:styleId="LFO8" w:customStyle="1">
    <w:name w:val="LFO8"/>
    <w:basedOn w:val="Sinlista"/>
    <w:pPr>
      <w:numPr>
        <w:numId w:val="13"/>
      </w:numPr>
    </w:pPr>
  </w:style>
  <w:style w:type="numbering" w:styleId="LFO9" w:customStyle="1">
    <w:name w:val="LFO9"/>
    <w:basedOn w:val="Sinlista"/>
    <w:pPr>
      <w:numPr>
        <w:numId w:val="14"/>
      </w:numPr>
    </w:pPr>
  </w:style>
  <w:style w:type="paragraph" w:styleId="Rfrences" w:customStyle="1">
    <w:name w:val="Références"/>
    <w:basedOn w:val="Normal"/>
    <w:qFormat/>
    <w:rsid w:val="00C46758"/>
    <w:pPr>
      <w:numPr>
        <w:numId w:val="16"/>
      </w:numPr>
      <w:autoSpaceDE w:val="0"/>
      <w:autoSpaceDN/>
      <w:spacing w:before="120" w:after="0"/>
      <w:ind w:left="641" w:hanging="357"/>
      <w:textAlignment w:val="auto"/>
    </w:pPr>
    <w:rPr>
      <w:rFonts w:ascii="Times New Roman" w:hAnsi="Times New Roman" w:cs="New York"/>
      <w:sz w:val="20"/>
      <w:szCs w:val="20"/>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file:///O:\Agricultura%20de%20Precision\ANGEL\Congresos\Users\u0889aai\Downloads\IMG-20240417-WA0010.jpg" TargetMode="External" Id="rId17" /><Relationship Type="http://schemas.openxmlformats.org/officeDocument/2006/relationships/customXml" Target="../customXml/item2.xml" Id="rId2" /><Relationship Type="http://schemas.openxmlformats.org/officeDocument/2006/relationships/image" Target="media/image5.jpe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file:///O:\Agricultura%20de%20Precision\VITISAD%20II\CONGRESOS\OIV2025\Poda%20abril%20brotaci&#243;n.jpg"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7.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C2230F84790FA49BB29F1EAD2C5226C" ma:contentTypeVersion="18" ma:contentTypeDescription="Crear nuevo documento." ma:contentTypeScope="" ma:versionID="693a6bdba20284876126a9dcc1665a24">
  <xsd:schema xmlns:xsd="http://www.w3.org/2001/XMLSchema" xmlns:xs="http://www.w3.org/2001/XMLSchema" xmlns:p="http://schemas.microsoft.com/office/2006/metadata/properties" xmlns:ns2="3d7d71be-d804-4cce-b5cf-91877bab4967" xmlns:ns3="bd995ded-17a8-4854-b221-4a75108c9739" targetNamespace="http://schemas.microsoft.com/office/2006/metadata/properties" ma:root="true" ma:fieldsID="6326620ebd1506ed14fb5e0a7c681fa0" ns2:_="" ns3:_="">
    <xsd:import namespace="3d7d71be-d804-4cce-b5cf-91877bab4967"/>
    <xsd:import namespace="bd995ded-17a8-4854-b221-4a75108c97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71be-d804-4cce-b5cf-91877bab4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f8664a0-889a-491e-8570-6d1da8281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95ded-17a8-4854-b221-4a75108c9739"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71be-d804-4cce-b5cf-91877bab49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633E2-60CB-4624-AF90-23EA206FD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71be-d804-4cce-b5cf-91877bab4967"/>
    <ds:schemaRef ds:uri="bd995ded-17a8-4854-b221-4a75108c9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3CA4B9-98E0-452F-AF3F-6142BEEB4020}">
  <ds:schemaRefs>
    <ds:schemaRef ds:uri="http://schemas.microsoft.com/office/2006/metadata/properties"/>
    <ds:schemaRef ds:uri="http://schemas.microsoft.com/office/infopath/2007/PartnerControls"/>
    <ds:schemaRef ds:uri="3d7d71be-d804-4cce-b5cf-91877bab4967"/>
  </ds:schemaRefs>
</ds:datastoreItem>
</file>

<file path=customXml/itemProps3.xml><?xml version="1.0" encoding="utf-8"?>
<ds:datastoreItem xmlns:ds="http://schemas.openxmlformats.org/officeDocument/2006/customXml" ds:itemID="{563EDFA1-D5D3-4A88-8918-6C7C7283242F}">
  <ds:schemaRefs>
    <ds:schemaRef ds:uri="http://schemas.microsoft.com/sharepoint/v3/contenttype/forms"/>
  </ds:schemaRefs>
</ds:datastoreItem>
</file>

<file path=customXml/itemProps4.xml><?xml version="1.0" encoding="utf-8"?>
<ds:datastoreItem xmlns:ds="http://schemas.openxmlformats.org/officeDocument/2006/customXml" ds:itemID="{31220F46-AAFD-47B1-A37D-44B75722EBB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Yolanda Gutierrez</dc:creator>
  <dc:description/>
  <lastModifiedBy>María Prieto Huerta</lastModifiedBy>
  <revision>7</revision>
  <dcterms:created xsi:type="dcterms:W3CDTF">2026-07-29T08:15:00.0000000Z</dcterms:created>
  <dcterms:modified xsi:type="dcterms:W3CDTF">2026-08-31T11:18:24.5461871Z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0x0101004C2230F84790FA49BB29F1EAD2C5226C</vt:lpwstr>
  </property>
  <property fmtid="{D5CDD505-2E9C-101B-9397-08002B2CF9AE}" pid="3" name="MediaServiceImageTags">
    <vt:lpwstr/>
  </property>
</Properties>
</file>