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7406" w14:textId="77777777" w:rsidR="00605D1C" w:rsidRDefault="00605D1C">
      <w:pPr>
        <w:jc w:val="both"/>
        <w:rPr>
          <w:rFonts w:ascii="Open Sans" w:hAnsi="Open Sans" w:cs="Open Sans"/>
          <w:b/>
          <w:bCs/>
          <w:color w:val="92D050"/>
          <w:sz w:val="28"/>
          <w:szCs w:val="28"/>
          <w:lang w:val="pt-BR"/>
        </w:rPr>
      </w:pPr>
    </w:p>
    <w:p w14:paraId="0B1BD69C" w14:textId="1817779E" w:rsidR="00605D1C" w:rsidRDefault="00000000">
      <w:pPr>
        <w:suppressAutoHyphens/>
        <w:spacing w:after="0" w:line="100" w:lineRule="atLeast"/>
        <w:jc w:val="both"/>
        <w:rPr>
          <w:rFonts w:ascii="Open Sans" w:eastAsia="Times New Roman" w:hAnsi="Open Sans" w:cs="Open Sans"/>
          <w:b/>
          <w:kern w:val="0"/>
          <w:sz w:val="24"/>
          <w:szCs w:val="24"/>
          <w:lang w:val="pt-BR" w:eastAsia="ar-SA"/>
          <w14:ligatures w14:val="none"/>
        </w:rPr>
      </w:pPr>
      <w:r>
        <w:rPr>
          <w:rFonts w:ascii="Open Sans" w:eastAsia="Times New Roman" w:hAnsi="Open Sans" w:cs="Open Sans"/>
          <w:b/>
          <w:kern w:val="0"/>
          <w:sz w:val="24"/>
          <w:szCs w:val="24"/>
          <w:lang w:val="pt-BR" w:eastAsia="ar-SA"/>
          <w14:ligatures w14:val="none"/>
        </w:rPr>
        <w:t>Declaração de conformidade do princípio «Não Prejudicar Significativamente» os seis objetivos ambientais, de acordo com o artigo 17º do Regulamento (UE) 2020/852</w:t>
      </w:r>
    </w:p>
    <w:p w14:paraId="4604DCA3" w14:textId="77777777" w:rsidR="00605D1C" w:rsidRDefault="00000000">
      <w:pPr>
        <w:ind w:left="1040"/>
        <w:jc w:val="center"/>
        <w:rPr>
          <w:bCs/>
          <w:i/>
          <w:iCs/>
          <w:sz w:val="18"/>
          <w:szCs w:val="18"/>
          <w:lang w:val="pt-BR"/>
        </w:rPr>
      </w:pPr>
      <w:r>
        <w:rPr>
          <w:bCs/>
          <w:i/>
          <w:iCs/>
          <w:sz w:val="18"/>
          <w:szCs w:val="18"/>
          <w:lang w:val="pt-BR"/>
        </w:rPr>
        <w:t>(a assinar pelo representante legal da entidade)</w:t>
      </w:r>
    </w:p>
    <w:p w14:paraId="43913B5F" w14:textId="77777777" w:rsidR="00605D1C" w:rsidRDefault="00605D1C">
      <w:pPr>
        <w:suppressAutoHyphens/>
        <w:spacing w:after="0" w:line="100" w:lineRule="atLeast"/>
        <w:jc w:val="center"/>
        <w:rPr>
          <w:rFonts w:ascii="Open Sans" w:eastAsia="Times New Roman" w:hAnsi="Open Sans" w:cs="Open Sans"/>
          <w:b/>
          <w:kern w:val="0"/>
          <w:sz w:val="24"/>
          <w:szCs w:val="24"/>
          <w:lang w:val="pt-BR" w:eastAsia="ar-SA"/>
          <w14:ligatures w14:val="none"/>
        </w:rPr>
      </w:pPr>
    </w:p>
    <w:tbl>
      <w:tblPr>
        <w:tblStyle w:val="Tablaconcuadrcula"/>
        <w:tblW w:w="9781" w:type="dxa"/>
        <w:jc w:val="center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3256"/>
        <w:gridCol w:w="6525"/>
      </w:tblGrid>
      <w:tr w:rsidR="00605D1C" w14:paraId="4286F161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59F8367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Acrónimo do projeto</w:t>
            </w:r>
          </w:p>
        </w:tc>
        <w:tc>
          <w:tcPr>
            <w:tcW w:w="6525" w:type="dxa"/>
            <w:shd w:val="clear" w:color="auto" w:fill="FFFFFF" w:themeFill="background1"/>
          </w:tcPr>
          <w:p w14:paraId="4380E2BB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4AC1B5C2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DE70116" w14:textId="77777777" w:rsidR="00605D1C" w:rsidRDefault="00000000">
            <w:pPr>
              <w:suppressAutoHyphens/>
              <w:spacing w:after="0" w:line="480" w:lineRule="auto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Código do projeto</w:t>
            </w:r>
          </w:p>
        </w:tc>
        <w:tc>
          <w:tcPr>
            <w:tcW w:w="6525" w:type="dxa"/>
            <w:shd w:val="clear" w:color="auto" w:fill="FFFFFF" w:themeFill="background1"/>
          </w:tcPr>
          <w:p w14:paraId="32218395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08BC3B49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0466AA06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Nome</w:t>
            </w:r>
          </w:p>
        </w:tc>
        <w:tc>
          <w:tcPr>
            <w:tcW w:w="6525" w:type="dxa"/>
            <w:shd w:val="clear" w:color="auto" w:fill="FFFFFF" w:themeFill="background1"/>
          </w:tcPr>
          <w:p w14:paraId="719553C9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3272CF00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83B1D56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Apelidos</w:t>
            </w:r>
          </w:p>
        </w:tc>
        <w:tc>
          <w:tcPr>
            <w:tcW w:w="6525" w:type="dxa"/>
            <w:shd w:val="clear" w:color="auto" w:fill="FFFFFF" w:themeFill="background1"/>
          </w:tcPr>
          <w:p w14:paraId="4EE14076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7D71E03D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97C0E8F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Cs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eastAsia="Times New Roman" w:hAnsi="Open Sans" w:cs="Open Sans"/>
                <w:bCs/>
                <w:kern w:val="0"/>
                <w:sz w:val="20"/>
                <w:szCs w:val="20"/>
                <w:lang w:val="pt-BR" w:eastAsia="ar-SA"/>
                <w14:ligatures w14:val="none"/>
              </w:rPr>
              <w:t>Cargo</w:t>
            </w:r>
          </w:p>
        </w:tc>
        <w:tc>
          <w:tcPr>
            <w:tcW w:w="6525" w:type="dxa"/>
            <w:shd w:val="clear" w:color="auto" w:fill="FFFFFF" w:themeFill="background1"/>
          </w:tcPr>
          <w:p w14:paraId="274782CE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44400F19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14B48856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Entidade-mãe de nível 1</w:t>
            </w:r>
          </w:p>
        </w:tc>
        <w:tc>
          <w:tcPr>
            <w:tcW w:w="6525" w:type="dxa"/>
            <w:shd w:val="clear" w:color="auto" w:fill="FFFFFF" w:themeFill="background1"/>
          </w:tcPr>
          <w:p w14:paraId="6CDF0E9A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079D78EE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68901450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Unidade dependente de nível 2</w:t>
            </w:r>
          </w:p>
        </w:tc>
        <w:tc>
          <w:tcPr>
            <w:tcW w:w="6525" w:type="dxa"/>
            <w:shd w:val="clear" w:color="auto" w:fill="FFFFFF" w:themeFill="background1"/>
          </w:tcPr>
          <w:p w14:paraId="7A681FEB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14E3FDE7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F34EDFF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Unidade dependente de nível 3</w:t>
            </w:r>
          </w:p>
        </w:tc>
        <w:tc>
          <w:tcPr>
            <w:tcW w:w="6525" w:type="dxa"/>
            <w:shd w:val="clear" w:color="auto" w:fill="FFFFFF" w:themeFill="background1"/>
          </w:tcPr>
          <w:p w14:paraId="6C9B1791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  <w:tr w:rsidR="00605D1C" w14:paraId="530E9A00" w14:textId="77777777">
        <w:trPr>
          <w:jc w:val="center"/>
        </w:trPr>
        <w:tc>
          <w:tcPr>
            <w:tcW w:w="3256" w:type="dxa"/>
            <w:shd w:val="clear" w:color="auto" w:fill="FFFFFF" w:themeFill="background1"/>
            <w:vAlign w:val="center"/>
          </w:tcPr>
          <w:p w14:paraId="099053DF" w14:textId="77777777" w:rsidR="00605D1C" w:rsidRDefault="00000000">
            <w:pPr>
              <w:suppressAutoHyphens/>
              <w:spacing w:after="0" w:line="48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Código eSudoe</w:t>
            </w:r>
          </w:p>
        </w:tc>
        <w:tc>
          <w:tcPr>
            <w:tcW w:w="6525" w:type="dxa"/>
            <w:shd w:val="clear" w:color="auto" w:fill="FFFFFF" w:themeFill="background1"/>
          </w:tcPr>
          <w:p w14:paraId="00EE5A66" w14:textId="77777777" w:rsidR="00605D1C" w:rsidRDefault="00605D1C">
            <w:pPr>
              <w:suppressAutoHyphens/>
              <w:spacing w:after="0" w:line="480" w:lineRule="auto"/>
              <w:jc w:val="center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val="pt-BR" w:eastAsia="ar-SA"/>
                <w14:ligatures w14:val="none"/>
              </w:rPr>
            </w:pPr>
          </w:p>
        </w:tc>
      </w:tr>
    </w:tbl>
    <w:p w14:paraId="7236CC83" w14:textId="77777777" w:rsidR="00605D1C" w:rsidRDefault="00605D1C">
      <w:pPr>
        <w:suppressAutoHyphens/>
        <w:spacing w:after="0" w:line="100" w:lineRule="atLeast"/>
        <w:jc w:val="center"/>
        <w:rPr>
          <w:rFonts w:ascii="Open Sans" w:eastAsia="Times New Roman" w:hAnsi="Open Sans" w:cs="Open Sans"/>
          <w:kern w:val="0"/>
          <w:sz w:val="24"/>
          <w:szCs w:val="24"/>
          <w:lang w:val="pt-BR" w:eastAsia="ar-SA"/>
          <w14:ligatures w14:val="none"/>
        </w:rPr>
      </w:pPr>
    </w:p>
    <w:p w14:paraId="3B50B314" w14:textId="77777777" w:rsidR="00605D1C" w:rsidRDefault="00000000">
      <w:pPr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Ao assinar este documento, </w:t>
      </w:r>
      <w:r>
        <w:rPr>
          <w:rFonts w:ascii="Open Sans" w:hAnsi="Open Sans" w:cs="Open Sans"/>
          <w:b/>
          <w:bCs/>
          <w:sz w:val="20"/>
          <w:szCs w:val="20"/>
          <w:lang w:val="pt-BR"/>
        </w:rPr>
        <w:t>declara que:</w:t>
      </w:r>
    </w:p>
    <w:p w14:paraId="21F2D8EA" w14:textId="77777777" w:rsidR="00605D1C" w:rsidRDefault="00000000">
      <w:pPr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Apresentou um pedido para ser beneficiário do projeto indicado e este cumpre os seguintes requisitos: </w:t>
      </w:r>
    </w:p>
    <w:p w14:paraId="7C7849E4" w14:textId="77777777" w:rsidR="00605D1C" w:rsidRDefault="00000000">
      <w:pPr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b/>
          <w:bCs/>
          <w:color w:val="92D050"/>
          <w:sz w:val="20"/>
          <w:szCs w:val="20"/>
          <w:lang w:val="pt-BR"/>
        </w:rPr>
        <w:t xml:space="preserve">A. </w:t>
      </w:r>
      <w:r>
        <w:rPr>
          <w:rFonts w:ascii="Open Sans" w:hAnsi="Open Sans" w:cs="Open Sans"/>
          <w:sz w:val="20"/>
          <w:szCs w:val="20"/>
          <w:lang w:val="pt-BR"/>
        </w:rPr>
        <w:t xml:space="preserve">As atividades desenvolvidas no âmbito do projeto não prejudicam significativamente os seguintes objetivos ambientais, em conformidade com o artigo 17.º do Regulamento (UE) 2020/852 relativo ao estabelecimento de um quadro destinado a promover investimentos sustentáveis através da aplicação de um sistema de classificação (ou «taxonomia») de atividades económicas sustentáveis do ponto de vista ambiental: </w:t>
      </w:r>
    </w:p>
    <w:p w14:paraId="2DB7BB92" w14:textId="77777777" w:rsidR="00605D1C" w:rsidRDefault="00000000">
      <w:pPr>
        <w:ind w:left="708"/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1. Atenuação das alterações climáticas. </w:t>
      </w:r>
    </w:p>
    <w:p w14:paraId="7CA3A0BC" w14:textId="77777777" w:rsidR="00605D1C" w:rsidRDefault="00000000">
      <w:pPr>
        <w:ind w:left="708"/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2. Adaptação às alterações climáticas. </w:t>
      </w:r>
    </w:p>
    <w:p w14:paraId="2C5A3E30" w14:textId="77777777" w:rsidR="00605D1C" w:rsidRDefault="00000000">
      <w:pPr>
        <w:ind w:left="708"/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3. Utilização sustentável e proteção da água e dos recursos marinhos. </w:t>
      </w:r>
    </w:p>
    <w:p w14:paraId="1D1094E0" w14:textId="77777777" w:rsidR="00605D1C" w:rsidRDefault="00000000">
      <w:pPr>
        <w:ind w:left="708"/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4. Economia circular, incluindo a prevenção e reciclagem de resíduos. </w:t>
      </w:r>
    </w:p>
    <w:p w14:paraId="202C1C42" w14:textId="77777777" w:rsidR="00605D1C" w:rsidRDefault="00000000">
      <w:pPr>
        <w:ind w:left="708"/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5. Prevenção e controlo da poluição atmosférica, da água ou do solo. </w:t>
      </w:r>
    </w:p>
    <w:p w14:paraId="5744E35F" w14:textId="77777777" w:rsidR="00605D1C" w:rsidRDefault="00000000">
      <w:pPr>
        <w:ind w:left="708"/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 xml:space="preserve">6. Proteção e recuperação da biodiversidade e dos ecossistemas. </w:t>
      </w:r>
    </w:p>
    <w:p w14:paraId="08D393B9" w14:textId="77777777" w:rsidR="00605D1C" w:rsidRDefault="00605D1C">
      <w:pPr>
        <w:jc w:val="both"/>
        <w:rPr>
          <w:rFonts w:ascii="Open Sans" w:hAnsi="Open Sans" w:cs="Open Sans"/>
          <w:b/>
          <w:bCs/>
          <w:color w:val="92D050"/>
          <w:sz w:val="20"/>
          <w:szCs w:val="20"/>
          <w:lang w:val="pt-BR"/>
        </w:rPr>
      </w:pPr>
    </w:p>
    <w:p w14:paraId="37D6DC60" w14:textId="77777777" w:rsidR="00605D1C" w:rsidRDefault="00000000">
      <w:pPr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b/>
          <w:bCs/>
          <w:color w:val="92D050"/>
          <w:sz w:val="20"/>
          <w:szCs w:val="20"/>
          <w:lang w:val="pt-BR"/>
        </w:rPr>
        <w:lastRenderedPageBreak/>
        <w:t xml:space="preserve">B. </w:t>
      </w:r>
      <w:r>
        <w:rPr>
          <w:rFonts w:ascii="Open Sans" w:hAnsi="Open Sans" w:cs="Open Sans"/>
          <w:sz w:val="20"/>
          <w:szCs w:val="20"/>
          <w:lang w:val="pt-BR"/>
        </w:rPr>
        <w:t>Se aplicável, as atividades devem ser executadas de acordo com os critérios técnicos de elegibilidade (critérios de compatibilidade) estabelecidos nos «Princípios para a execução de ações em projetos com componentes de infraestruturas, garantindo a sua conformidade com o princípio de «</w:t>
      </w:r>
      <w:r>
        <w:rPr>
          <w:lang w:val="pt-BR"/>
        </w:rPr>
        <w:t xml:space="preserve"> </w:t>
      </w:r>
      <w:r>
        <w:rPr>
          <w:rFonts w:ascii="Open Sans" w:hAnsi="Open Sans" w:cs="Open Sans"/>
          <w:sz w:val="20"/>
          <w:szCs w:val="20"/>
          <w:lang w:val="pt-BR"/>
        </w:rPr>
        <w:t>Não Prejudicar Significativamente» e no Regulamento (UE) 2021/2139 da Comissão, de 4 de junho de 2021,  que complementa o Regulamento (UE) 2020/852 do Parlamento Europeu e do Conselho, estabelecendo critérios técnicos de elegibilidade para determinar as condições em que uma atividade económica pode ser considerada um contributo significativo para a atenuação das alterações climáticas ou para a adaptação às mesmas.</w:t>
      </w:r>
    </w:p>
    <w:p w14:paraId="48D1233E" w14:textId="77777777" w:rsidR="00605D1C" w:rsidRDefault="00605D1C">
      <w:pPr>
        <w:jc w:val="both"/>
        <w:rPr>
          <w:rFonts w:ascii="Open Sans" w:hAnsi="Open Sans" w:cs="Open Sans"/>
          <w:sz w:val="20"/>
          <w:szCs w:val="20"/>
          <w:lang w:val="pt-BR"/>
        </w:rPr>
      </w:pPr>
    </w:p>
    <w:tbl>
      <w:tblPr>
        <w:tblStyle w:val="Tablaconcuadrcula"/>
        <w:tblW w:w="9634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2122"/>
        <w:gridCol w:w="7512"/>
      </w:tblGrid>
      <w:tr w:rsidR="00605D1C" w:rsidRPr="00A7032A" w14:paraId="5C24205F" w14:textId="77777777">
        <w:tc>
          <w:tcPr>
            <w:tcW w:w="2122" w:type="dxa"/>
            <w:vAlign w:val="center"/>
          </w:tcPr>
          <w:p w14:paraId="1A41EF99" w14:textId="77777777" w:rsidR="00605D1C" w:rsidRDefault="00000000">
            <w:pPr>
              <w:pStyle w:val="Progozatekst"/>
              <w:spacing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Localização dos locais-piloto onde participará no âmbito das atividades do projeto</w:t>
            </w:r>
          </w:p>
        </w:tc>
        <w:tc>
          <w:tcPr>
            <w:tcW w:w="7512" w:type="dxa"/>
          </w:tcPr>
          <w:p w14:paraId="6E916D89" w14:textId="77777777" w:rsidR="00605D1C" w:rsidRDefault="00605D1C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  <w:lang w:val="pt-BR"/>
              </w:rPr>
            </w:pPr>
          </w:p>
        </w:tc>
      </w:tr>
    </w:tbl>
    <w:p w14:paraId="70FAC33C" w14:textId="77777777" w:rsidR="00605D1C" w:rsidRDefault="00605D1C">
      <w:pPr>
        <w:jc w:val="both"/>
        <w:rPr>
          <w:rFonts w:ascii="Open Sans" w:hAnsi="Open Sans" w:cs="Open Sans"/>
          <w:sz w:val="20"/>
          <w:szCs w:val="20"/>
          <w:lang w:val="pt-BR"/>
        </w:rPr>
      </w:pPr>
    </w:p>
    <w:tbl>
      <w:tblPr>
        <w:tblStyle w:val="Tablaconcuadrcula"/>
        <w:tblW w:w="9634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2122"/>
        <w:gridCol w:w="7512"/>
      </w:tblGrid>
      <w:tr w:rsidR="00605D1C" w:rsidRPr="00A7032A" w14:paraId="753EEB6C" w14:textId="77777777">
        <w:tc>
          <w:tcPr>
            <w:tcW w:w="9634" w:type="dxa"/>
            <w:gridSpan w:val="2"/>
          </w:tcPr>
          <w:p w14:paraId="5F20D61F" w14:textId="77777777" w:rsidR="00605D1C" w:rsidRDefault="00000000">
            <w:pPr>
              <w:spacing w:before="240"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pt-BR"/>
              </w:rPr>
              <w:t xml:space="preserve">Declaração de conformidade do princípio DNSH para cada objetivo ambiental </w:t>
            </w:r>
          </w:p>
          <w:p w14:paraId="09C350E3" w14:textId="77777777" w:rsidR="00605D1C" w:rsidRDefault="00000000">
            <w:pPr>
              <w:spacing w:before="240"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pt-BR"/>
              </w:rPr>
              <w:t>(acrónimo de "Do No Significant Harm")</w:t>
            </w:r>
          </w:p>
          <w:p w14:paraId="2502BDFA" w14:textId="77777777" w:rsidR="00605D1C" w:rsidRDefault="00605D1C">
            <w:pPr>
              <w:spacing w:before="240"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pt-BR"/>
              </w:rPr>
            </w:pPr>
          </w:p>
        </w:tc>
      </w:tr>
      <w:tr w:rsidR="00605D1C" w14:paraId="131B9D61" w14:textId="77777777">
        <w:tc>
          <w:tcPr>
            <w:tcW w:w="2122" w:type="dxa"/>
          </w:tcPr>
          <w:p w14:paraId="09DA72A4" w14:textId="77777777" w:rsidR="00605D1C" w:rsidRDefault="00000000">
            <w:pPr>
              <w:spacing w:before="240" w:after="0" w:line="240" w:lineRule="auto"/>
              <w:jc w:val="center"/>
              <w:rPr>
                <w:rFonts w:ascii="Open Sans" w:hAnsi="Open Sans" w:cs="Open Sans"/>
                <w:b/>
                <w:lang w:val="pt-BR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Objetivo ambiental</w:t>
            </w:r>
          </w:p>
        </w:tc>
        <w:tc>
          <w:tcPr>
            <w:tcW w:w="7512" w:type="dxa"/>
          </w:tcPr>
          <w:p w14:paraId="1C6CC057" w14:textId="77777777" w:rsidR="00605D1C" w:rsidRDefault="00000000">
            <w:pPr>
              <w:spacing w:before="240" w:after="0" w:line="240" w:lineRule="auto"/>
              <w:jc w:val="center"/>
              <w:rPr>
                <w:rFonts w:ascii="Open Sans" w:hAnsi="Open Sans" w:cs="Open Sans"/>
                <w:b/>
                <w:lang w:val="pt-BR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pt-BR"/>
              </w:rPr>
              <w:t>Justificação</w:t>
            </w:r>
          </w:p>
        </w:tc>
      </w:tr>
      <w:tr w:rsidR="00605D1C" w:rsidRPr="00A7032A" w14:paraId="51391C67" w14:textId="77777777">
        <w:tc>
          <w:tcPr>
            <w:tcW w:w="2122" w:type="dxa"/>
            <w:vAlign w:val="center"/>
          </w:tcPr>
          <w:p w14:paraId="25714890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1. Atenuação das alterações climáticas</w:t>
            </w:r>
          </w:p>
        </w:tc>
        <w:tc>
          <w:tcPr>
            <w:tcW w:w="7512" w:type="dxa"/>
            <w:vAlign w:val="center"/>
          </w:tcPr>
          <w:p w14:paraId="05F98A3E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Justifique </w:t>
            </w:r>
            <w:r w:rsidRPr="00A7032A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que </w:t>
            </w:r>
            <w:r w:rsidRPr="00A7032A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as </w:t>
            </w:r>
            <w:r w:rsidRPr="00A7032A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suas atividades NÃO causam emissões significativas de gases de efeito </w:t>
            </w:r>
            <w:r w:rsidRPr="00A7032A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de </w:t>
            </w:r>
            <w:r w:rsidRPr="00A7032A">
              <w:rPr>
                <w:rFonts w:ascii="Open Sans" w:hAnsi="Open Sans" w:cs="Open Sans"/>
                <w:sz w:val="20"/>
                <w:szCs w:val="20"/>
                <w:lang w:val="pt-BR"/>
              </w:rPr>
              <w:t>estufa</w:t>
            </w: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:</w:t>
            </w:r>
          </w:p>
        </w:tc>
      </w:tr>
      <w:tr w:rsidR="00605D1C" w:rsidRPr="00A7032A" w14:paraId="4EFBD1DE" w14:textId="77777777">
        <w:tc>
          <w:tcPr>
            <w:tcW w:w="2122" w:type="dxa"/>
            <w:vAlign w:val="center"/>
          </w:tcPr>
          <w:p w14:paraId="170377E2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2. Adaptação às alterações climáticas</w:t>
            </w:r>
          </w:p>
        </w:tc>
        <w:tc>
          <w:tcPr>
            <w:tcW w:w="7512" w:type="dxa"/>
            <w:vAlign w:val="center"/>
          </w:tcPr>
          <w:p w14:paraId="7B1AD21E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Justifique que as suas atividades NÃO têm um impacto prejudicial no clima atual ou nas condições climáticas previstas para o futuro:</w:t>
            </w:r>
          </w:p>
        </w:tc>
      </w:tr>
      <w:tr w:rsidR="00605D1C" w:rsidRPr="00A7032A" w14:paraId="68CC9DDB" w14:textId="77777777">
        <w:tc>
          <w:tcPr>
            <w:tcW w:w="2122" w:type="dxa"/>
            <w:vAlign w:val="center"/>
          </w:tcPr>
          <w:p w14:paraId="2DAF0CFD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3. Utilização sustentável e proteção da água e dos recursos marinhos</w:t>
            </w:r>
          </w:p>
        </w:tc>
        <w:tc>
          <w:tcPr>
            <w:tcW w:w="7512" w:type="dxa"/>
            <w:vAlign w:val="center"/>
          </w:tcPr>
          <w:p w14:paraId="2F92097F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Justifique que as suas atividades </w:t>
            </w:r>
          </w:p>
          <w:p w14:paraId="108320D6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PT"/>
              </w:rPr>
              <w:t>N</w:t>
            </w: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ÃO são prejudiciais para:</w:t>
            </w:r>
          </w:p>
          <w:p w14:paraId="118F611A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i) o bom estado ou o bom potencial ecológico das massas de água, incluindo as águas de superfície e as águas subterrâneas, </w:t>
            </w:r>
          </w:p>
          <w:p w14:paraId="448CCE21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ii) o bom estado ecológico das águas marinhas.</w:t>
            </w:r>
          </w:p>
        </w:tc>
      </w:tr>
      <w:tr w:rsidR="00605D1C" w:rsidRPr="00A7032A" w14:paraId="33234DC3" w14:textId="77777777">
        <w:tc>
          <w:tcPr>
            <w:tcW w:w="2122" w:type="dxa"/>
            <w:vAlign w:val="center"/>
          </w:tcPr>
          <w:p w14:paraId="0CD0BA8C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4. Economia circular, incluindo a prevenção e reciclagem de resíduos</w:t>
            </w:r>
          </w:p>
        </w:tc>
        <w:tc>
          <w:tcPr>
            <w:tcW w:w="7512" w:type="dxa"/>
            <w:vAlign w:val="center"/>
          </w:tcPr>
          <w:p w14:paraId="3E91341F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Justifique que as suas atividades NÃO resultam em:</w:t>
            </w:r>
          </w:p>
          <w:p w14:paraId="638969FE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i) Ineficiências significativas na utilização de materiais ou na utilização direta ou indireta de recursos naturais, tais como fontes de energia não renováveis, matérias-primas, água e solo, numa ou mais fases do ciclo de vida dos </w:t>
            </w: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lastRenderedPageBreak/>
              <w:t>produtos, nomeadamente em termos de durabilidade, reparabilidade, melhorabilidade, reutilização ou reciclabilidade dos produtos;</w:t>
            </w:r>
          </w:p>
          <w:p w14:paraId="29B42239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ii) aumento significativo da produção, incineração ou eliminação de resíduos, com exceção da incineração de resíduos perigosos não recicláveis;</w:t>
            </w:r>
          </w:p>
          <w:p w14:paraId="7E919C3A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iii) eliminação a longo prazo de resíduos suscetíveis de causar danos significativos e duradouros ao ambiente.</w:t>
            </w:r>
          </w:p>
        </w:tc>
      </w:tr>
      <w:tr w:rsidR="00605D1C" w:rsidRPr="00A7032A" w14:paraId="1A723935" w14:textId="77777777">
        <w:tc>
          <w:tcPr>
            <w:tcW w:w="2122" w:type="dxa"/>
            <w:vAlign w:val="center"/>
          </w:tcPr>
          <w:p w14:paraId="6C6B12DF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lastRenderedPageBreak/>
              <w:t>5. Prevenção e controlo da poluição da atmosfera, da água ou do solo</w:t>
            </w:r>
          </w:p>
        </w:tc>
        <w:tc>
          <w:tcPr>
            <w:tcW w:w="7512" w:type="dxa"/>
            <w:vAlign w:val="center"/>
          </w:tcPr>
          <w:p w14:paraId="62BFD777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color w:val="FF0000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Justifique que as suas atividades NÃO causam um aumento significativo das emissões poluentes para a atmosfera, água ou solo, em comparação com a situação anterior ao início da atividade</w:t>
            </w:r>
          </w:p>
          <w:p w14:paraId="74B9E424" w14:textId="77777777" w:rsidR="00605D1C" w:rsidRDefault="00605D1C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</w:p>
        </w:tc>
      </w:tr>
      <w:tr w:rsidR="00605D1C" w:rsidRPr="00A7032A" w14:paraId="36F7487E" w14:textId="77777777">
        <w:tc>
          <w:tcPr>
            <w:tcW w:w="2122" w:type="dxa"/>
            <w:vAlign w:val="center"/>
          </w:tcPr>
          <w:p w14:paraId="2B09711C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6. Proteção e recuperação da biodiversidade e dos ecossistemas</w:t>
            </w:r>
          </w:p>
        </w:tc>
        <w:tc>
          <w:tcPr>
            <w:tcW w:w="7512" w:type="dxa"/>
            <w:vAlign w:val="center"/>
          </w:tcPr>
          <w:p w14:paraId="24450442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Justifique que </w:t>
            </w:r>
            <w:r w:rsidRPr="00A7032A">
              <w:rPr>
                <w:rFonts w:ascii="Open Sans" w:hAnsi="Open Sans" w:cs="Open Sans"/>
                <w:sz w:val="20"/>
                <w:szCs w:val="20"/>
                <w:lang w:val="pt-PT"/>
              </w:rPr>
              <w:t xml:space="preserve">as </w:t>
            </w:r>
            <w:r w:rsidRPr="00A7032A"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suas atividades </w:t>
            </w: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>NÃO:</w:t>
            </w:r>
          </w:p>
          <w:p w14:paraId="06C11D97" w14:textId="77777777" w:rsidR="00605D1C" w:rsidRDefault="00000000">
            <w:pPr>
              <w:pStyle w:val="Progozatekst"/>
              <w:spacing w:before="240" w:after="0" w:line="240" w:lineRule="auto"/>
              <w:ind w:firstLine="0"/>
              <w:jc w:val="left"/>
              <w:rPr>
                <w:rFonts w:ascii="Open Sans" w:hAnsi="Open Sans" w:cs="Open Sans"/>
                <w:sz w:val="20"/>
                <w:szCs w:val="20"/>
                <w:lang w:val="pt-BR"/>
              </w:rPr>
            </w:pPr>
            <w:r>
              <w:rPr>
                <w:rFonts w:ascii="Open Sans" w:hAnsi="Open Sans" w:cs="Open Sans"/>
                <w:sz w:val="20"/>
                <w:szCs w:val="20"/>
                <w:lang w:val="pt-BR"/>
              </w:rPr>
              <w:t xml:space="preserve">i) prejudicam significativamente a saúde e a resiliência dos ecossistemas; </w:t>
            </w:r>
          </w:p>
          <w:p w14:paraId="3998D384" w14:textId="77777777" w:rsidR="00605D1C" w:rsidRDefault="00000000">
            <w:pPr>
              <w:spacing w:before="240" w:after="0" w:line="240" w:lineRule="auto"/>
              <w:rPr>
                <w:rFonts w:ascii="Open Sans" w:hAnsi="Open Sans" w:cs="Open Sans"/>
                <w:lang w:val="pt-BR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pt-BR"/>
              </w:rPr>
              <w:t>ii) são prejudiciais para o estado de conservação dos habitats e espécies, incluídas as de interesse para a União Europeia</w:t>
            </w:r>
          </w:p>
        </w:tc>
      </w:tr>
    </w:tbl>
    <w:p w14:paraId="47A4E5EF" w14:textId="77777777" w:rsidR="00605D1C" w:rsidRDefault="00605D1C">
      <w:pPr>
        <w:jc w:val="both"/>
        <w:rPr>
          <w:rFonts w:ascii="Open Sans" w:hAnsi="Open Sans" w:cs="Open Sans"/>
          <w:b/>
          <w:bCs/>
          <w:color w:val="92D050"/>
          <w:sz w:val="20"/>
          <w:szCs w:val="20"/>
          <w:lang w:val="pt-BR"/>
        </w:rPr>
      </w:pPr>
    </w:p>
    <w:p w14:paraId="1C15EBB3" w14:textId="77777777" w:rsidR="00605D1C" w:rsidRDefault="00000000">
      <w:pPr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b/>
          <w:bCs/>
          <w:color w:val="92D050"/>
          <w:sz w:val="20"/>
          <w:szCs w:val="20"/>
          <w:lang w:val="pt-BR"/>
        </w:rPr>
        <w:t xml:space="preserve">C. </w:t>
      </w:r>
      <w:r>
        <w:rPr>
          <w:rFonts w:ascii="Open Sans" w:hAnsi="Open Sans" w:cs="Open Sans"/>
          <w:sz w:val="20"/>
          <w:szCs w:val="20"/>
          <w:lang w:val="pt-BR"/>
        </w:rPr>
        <w:t xml:space="preserve">As atividades desenvolvidas no projeto cumprirão as normas ambientais aplicáveis em vigor. </w:t>
      </w:r>
    </w:p>
    <w:p w14:paraId="0FFFFEC2" w14:textId="7CB8BC1E" w:rsidR="00605D1C" w:rsidRDefault="00000000">
      <w:pPr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b/>
          <w:bCs/>
          <w:color w:val="92D050"/>
          <w:sz w:val="20"/>
          <w:szCs w:val="20"/>
          <w:lang w:val="pt-BR"/>
        </w:rPr>
        <w:t>D</w:t>
      </w:r>
      <w:r>
        <w:rPr>
          <w:rFonts w:ascii="Open Sans" w:hAnsi="Open Sans" w:cs="Open Sans"/>
          <w:sz w:val="20"/>
          <w:szCs w:val="20"/>
          <w:lang w:val="pt-BR"/>
        </w:rPr>
        <w:t xml:space="preserve">. As atividades que são realizadas não causam efeitos diretos no meio ambiente, nem efeitos indiretos primários ao longo do seu ciclo de vida, entendidos como aqueles que </w:t>
      </w:r>
      <w:r w:rsidRPr="004D0831">
        <w:rPr>
          <w:rFonts w:ascii="Open Sans" w:hAnsi="Open Sans" w:cs="Open Sans"/>
          <w:sz w:val="20"/>
          <w:szCs w:val="20"/>
          <w:lang w:val="pt-PT"/>
        </w:rPr>
        <w:t xml:space="preserve">se </w:t>
      </w:r>
      <w:r>
        <w:rPr>
          <w:rFonts w:ascii="Open Sans" w:hAnsi="Open Sans" w:cs="Open Sans"/>
          <w:sz w:val="20"/>
          <w:szCs w:val="20"/>
          <w:lang w:val="pt-BR"/>
        </w:rPr>
        <w:t xml:space="preserve">poderiam materializar após a sua conclusão, uma vez realizada a atividade. </w:t>
      </w:r>
    </w:p>
    <w:p w14:paraId="6ADD0BF3" w14:textId="77777777" w:rsidR="00605D1C" w:rsidRDefault="00000000">
      <w:pPr>
        <w:jc w:val="both"/>
        <w:rPr>
          <w:rFonts w:ascii="Open Sans" w:hAnsi="Open Sans" w:cs="Open Sans"/>
          <w:sz w:val="20"/>
          <w:szCs w:val="20"/>
          <w:lang w:val="pt-BR"/>
        </w:rPr>
      </w:pPr>
      <w:r>
        <w:rPr>
          <w:rFonts w:ascii="Open Sans" w:hAnsi="Open Sans" w:cs="Open Sans"/>
          <w:sz w:val="20"/>
          <w:szCs w:val="20"/>
          <w:lang w:val="pt-BR"/>
        </w:rPr>
        <w:t>O incumprimento de qualquer um dos requisitos estabelecidos nesta declaração dará lugar à obrigação de reembolsar os montantes recebidos e os juros de mora correspondentes.</w:t>
      </w:r>
    </w:p>
    <w:p w14:paraId="3D206150" w14:textId="77777777" w:rsidR="00605D1C" w:rsidRDefault="00605D1C">
      <w:pPr>
        <w:jc w:val="both"/>
        <w:rPr>
          <w:rFonts w:ascii="Open Sans" w:hAnsi="Open Sans" w:cs="Open Sans"/>
          <w:lang w:val="pt-BR"/>
        </w:rPr>
      </w:pPr>
    </w:p>
    <w:tbl>
      <w:tblPr>
        <w:tblStyle w:val="Tablaconcuadrcula"/>
        <w:tblW w:w="9634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15"/>
        <w:gridCol w:w="4819"/>
      </w:tblGrid>
      <w:tr w:rsidR="00605D1C" w14:paraId="3B37D64D" w14:textId="77777777">
        <w:tc>
          <w:tcPr>
            <w:tcW w:w="4815" w:type="dxa"/>
            <w:vMerge w:val="restart"/>
            <w:shd w:val="clear" w:color="auto" w:fill="FFFFFF" w:themeFill="background1"/>
          </w:tcPr>
          <w:p w14:paraId="1E42139B" w14:textId="77777777" w:rsidR="00605D1C" w:rsidRDefault="00000000">
            <w:pPr>
              <w:spacing w:after="0" w:line="600" w:lineRule="auto"/>
              <w:jc w:val="center"/>
              <w:rPr>
                <w:rFonts w:ascii="Open Sans" w:hAnsi="Open Sans" w:cs="Open Sans"/>
                <w:sz w:val="18"/>
                <w:szCs w:val="18"/>
                <w:lang w:val="pt-BR"/>
              </w:rPr>
            </w:pPr>
            <w:r>
              <w:rPr>
                <w:rFonts w:ascii="Open Sans" w:hAnsi="Open Sans" w:cs="Open Sans"/>
                <w:sz w:val="18"/>
                <w:szCs w:val="18"/>
                <w:lang w:val="pt-BR"/>
              </w:rPr>
              <w:t>Assinatura eletrónica</w:t>
            </w:r>
          </w:p>
        </w:tc>
        <w:tc>
          <w:tcPr>
            <w:tcW w:w="4819" w:type="dxa"/>
            <w:shd w:val="clear" w:color="auto" w:fill="FFFFFF" w:themeFill="background1"/>
          </w:tcPr>
          <w:p w14:paraId="67F6D71B" w14:textId="77777777" w:rsidR="00605D1C" w:rsidRDefault="00000000">
            <w:pPr>
              <w:spacing w:after="0" w:line="600" w:lineRule="auto"/>
              <w:jc w:val="center"/>
              <w:rPr>
                <w:rFonts w:ascii="Open Sans" w:hAnsi="Open Sans" w:cs="Open Sans"/>
                <w:sz w:val="18"/>
                <w:szCs w:val="18"/>
                <w:lang w:val="pt-BR"/>
              </w:rPr>
            </w:pPr>
            <w:r>
              <w:rPr>
                <w:rFonts w:ascii="Open Sans" w:hAnsi="Open Sans" w:cs="Open Sans"/>
                <w:sz w:val="18"/>
                <w:szCs w:val="18"/>
                <w:lang w:val="pt-BR"/>
              </w:rPr>
              <w:t>Data</w:t>
            </w:r>
          </w:p>
          <w:p w14:paraId="03A710B0" w14:textId="77777777" w:rsidR="00605D1C" w:rsidRDefault="00605D1C">
            <w:pPr>
              <w:spacing w:after="0" w:line="600" w:lineRule="auto"/>
              <w:jc w:val="center"/>
              <w:rPr>
                <w:rFonts w:ascii="Open Sans" w:hAnsi="Open Sans" w:cs="Open Sans"/>
                <w:sz w:val="18"/>
                <w:szCs w:val="18"/>
                <w:lang w:val="pt-BR"/>
              </w:rPr>
            </w:pPr>
          </w:p>
        </w:tc>
      </w:tr>
      <w:tr w:rsidR="00605D1C" w14:paraId="7FC164BC" w14:textId="77777777">
        <w:trPr>
          <w:trHeight w:val="1906"/>
        </w:trPr>
        <w:tc>
          <w:tcPr>
            <w:tcW w:w="4815" w:type="dxa"/>
            <w:vMerge/>
            <w:shd w:val="clear" w:color="auto" w:fill="FFFFFF" w:themeFill="background1"/>
          </w:tcPr>
          <w:p w14:paraId="682521CF" w14:textId="77777777" w:rsidR="00605D1C" w:rsidRDefault="00605D1C">
            <w:pPr>
              <w:spacing w:after="0" w:line="600" w:lineRule="auto"/>
              <w:jc w:val="both"/>
              <w:rPr>
                <w:rFonts w:ascii="Open Sans" w:hAnsi="Open Sans" w:cs="Open Sans"/>
                <w:sz w:val="18"/>
                <w:szCs w:val="18"/>
                <w:lang w:val="pt-BR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738EFA3B" w14:textId="77777777" w:rsidR="00605D1C" w:rsidRDefault="00000000">
            <w:pPr>
              <w:spacing w:after="0" w:line="600" w:lineRule="auto"/>
              <w:jc w:val="center"/>
              <w:rPr>
                <w:rFonts w:ascii="Open Sans" w:hAnsi="Open Sans" w:cs="Open Sans"/>
                <w:sz w:val="18"/>
                <w:szCs w:val="18"/>
                <w:lang w:val="pt-BR"/>
              </w:rPr>
            </w:pPr>
            <w:r>
              <w:rPr>
                <w:rFonts w:ascii="Open Sans" w:hAnsi="Open Sans" w:cs="Open Sans"/>
                <w:sz w:val="18"/>
                <w:szCs w:val="18"/>
                <w:lang w:val="pt-BR"/>
              </w:rPr>
              <w:t>Assinatura manuscrita e carimbo</w:t>
            </w:r>
          </w:p>
          <w:p w14:paraId="4F22A930" w14:textId="77777777" w:rsidR="00605D1C" w:rsidRDefault="00605D1C">
            <w:pPr>
              <w:spacing w:after="0" w:line="600" w:lineRule="auto"/>
              <w:jc w:val="center"/>
              <w:rPr>
                <w:rFonts w:ascii="Open Sans" w:hAnsi="Open Sans" w:cs="Open Sans"/>
                <w:sz w:val="18"/>
                <w:szCs w:val="18"/>
                <w:lang w:val="pt-BR"/>
              </w:rPr>
            </w:pPr>
          </w:p>
        </w:tc>
      </w:tr>
    </w:tbl>
    <w:p w14:paraId="39427962" w14:textId="77777777" w:rsidR="00605D1C" w:rsidRDefault="00605D1C">
      <w:pPr>
        <w:jc w:val="both"/>
        <w:rPr>
          <w:rFonts w:ascii="Open Sans" w:hAnsi="Open Sans" w:cs="Open Sans"/>
          <w:lang w:val="pt-BR"/>
        </w:rPr>
      </w:pPr>
    </w:p>
    <w:p w14:paraId="46376C75" w14:textId="77777777" w:rsidR="00605D1C" w:rsidRDefault="00000000">
      <w:pPr>
        <w:jc w:val="both"/>
        <w:rPr>
          <w:rFonts w:ascii="Open Sans" w:hAnsi="Open Sans" w:cs="Open Sans"/>
          <w:b/>
          <w:bCs/>
          <w:lang w:val="pt-BR"/>
        </w:rPr>
      </w:pPr>
      <w:r>
        <w:rPr>
          <w:rFonts w:ascii="Open Sans" w:hAnsi="Open Sans" w:cs="Open Sans"/>
          <w:b/>
          <w:bCs/>
          <w:lang w:val="pt-BR"/>
        </w:rPr>
        <w:tab/>
      </w:r>
      <w:r>
        <w:rPr>
          <w:rFonts w:ascii="Open Sans" w:hAnsi="Open Sans" w:cs="Open Sans"/>
          <w:b/>
          <w:bCs/>
          <w:lang w:val="pt-BR"/>
        </w:rPr>
        <w:tab/>
      </w:r>
      <w:r>
        <w:rPr>
          <w:rFonts w:ascii="Open Sans" w:hAnsi="Open Sans" w:cs="Open Sans"/>
          <w:b/>
          <w:bCs/>
          <w:lang w:val="pt-BR"/>
        </w:rPr>
        <w:tab/>
      </w:r>
      <w:r>
        <w:rPr>
          <w:rFonts w:ascii="Open Sans" w:hAnsi="Open Sans" w:cs="Open Sans"/>
          <w:b/>
          <w:bCs/>
          <w:lang w:val="pt-BR"/>
        </w:rPr>
        <w:tab/>
      </w:r>
      <w:r>
        <w:rPr>
          <w:rFonts w:ascii="Open Sans" w:hAnsi="Open Sans" w:cs="Open Sans"/>
          <w:b/>
          <w:bCs/>
          <w:lang w:val="pt-BR"/>
        </w:rPr>
        <w:tab/>
      </w:r>
      <w:r>
        <w:rPr>
          <w:rFonts w:ascii="Open Sans" w:hAnsi="Open Sans" w:cs="Open Sans"/>
          <w:b/>
          <w:bCs/>
          <w:lang w:val="pt-BR"/>
        </w:rPr>
        <w:tab/>
      </w:r>
      <w:r>
        <w:rPr>
          <w:rFonts w:ascii="Open Sans" w:hAnsi="Open Sans" w:cs="Open Sans"/>
          <w:b/>
          <w:bCs/>
          <w:lang w:val="pt-BR"/>
        </w:rPr>
        <w:tab/>
        <w:t xml:space="preserve"> </w:t>
      </w:r>
    </w:p>
    <w:p w14:paraId="5748A5C2" w14:textId="77777777" w:rsidR="00605D1C" w:rsidRDefault="00000000">
      <w:pPr>
        <w:rPr>
          <w:rFonts w:ascii="Open Sans" w:hAnsi="Open Sans" w:cs="Open Sans"/>
          <w:b/>
          <w:bCs/>
          <w:lang w:val="pt-BR"/>
        </w:rPr>
      </w:pPr>
      <w:r>
        <w:rPr>
          <w:rFonts w:ascii="Open Sans" w:hAnsi="Open Sans" w:cs="Open Sans"/>
          <w:b/>
          <w:bCs/>
          <w:lang w:val="pt-BR"/>
        </w:rPr>
        <w:br w:type="page"/>
      </w:r>
    </w:p>
    <w:p w14:paraId="190BFAD7" w14:textId="77777777" w:rsidR="00605D1C" w:rsidRDefault="00605D1C">
      <w:pPr>
        <w:jc w:val="center"/>
        <w:rPr>
          <w:rFonts w:ascii="Open Sans" w:hAnsi="Open Sans" w:cs="Open Sans"/>
          <w:b/>
          <w:bCs/>
          <w:lang w:val="pt-BR"/>
        </w:rPr>
      </w:pPr>
    </w:p>
    <w:p w14:paraId="7BA2CB24" w14:textId="77777777" w:rsidR="00605D1C" w:rsidRDefault="00000000">
      <w:pPr>
        <w:jc w:val="center"/>
        <w:rPr>
          <w:rFonts w:ascii="Open Sans" w:hAnsi="Open Sans" w:cs="Open Sans"/>
          <w:b/>
          <w:bCs/>
          <w:lang w:val="pt-BR"/>
        </w:rPr>
      </w:pPr>
      <w:r>
        <w:rPr>
          <w:rFonts w:ascii="Open Sans" w:hAnsi="Open Sans" w:cs="Open Sans"/>
          <w:b/>
          <w:bCs/>
          <w:lang w:val="pt-BR"/>
        </w:rPr>
        <w:t>Anexo I. Especificações</w:t>
      </w:r>
    </w:p>
    <w:p w14:paraId="2F581765" w14:textId="77777777" w:rsidR="00605D1C" w:rsidRDefault="00000000">
      <w:pPr>
        <w:pStyle w:val="parrafo2"/>
        <w:numPr>
          <w:ilvl w:val="0"/>
          <w:numId w:val="1"/>
        </w:numPr>
        <w:spacing w:before="360" w:beforeAutospacing="0" w:after="180" w:afterAutospacing="0"/>
        <w:ind w:left="360"/>
        <w:jc w:val="both"/>
        <w:rPr>
          <w:rFonts w:ascii="Open Sans" w:hAnsi="Open Sans" w:cs="Open Sans"/>
          <w:color w:val="000000"/>
          <w:sz w:val="20"/>
          <w:szCs w:val="20"/>
          <w:lang w:val="pt-BR"/>
        </w:rPr>
      </w:pPr>
      <w:r>
        <w:rPr>
          <w:rFonts w:ascii="Open Sans" w:hAnsi="Open Sans" w:cs="Open Sans"/>
          <w:color w:val="000000"/>
          <w:sz w:val="20"/>
          <w:szCs w:val="20"/>
          <w:lang w:val="pt-BR"/>
        </w:rPr>
        <w:t>Não serão elegíveis as operações correspondentes a projetos incluídos no Anexo I da Diretiva 2011/92/UE.</w:t>
      </w:r>
    </w:p>
    <w:p w14:paraId="61864625" w14:textId="77777777" w:rsidR="00605D1C" w:rsidRDefault="00000000">
      <w:pPr>
        <w:pStyle w:val="parrafo"/>
        <w:numPr>
          <w:ilvl w:val="0"/>
          <w:numId w:val="1"/>
        </w:numPr>
        <w:spacing w:before="180" w:beforeAutospacing="0" w:after="180" w:afterAutospacing="0"/>
        <w:ind w:left="360"/>
        <w:jc w:val="both"/>
        <w:rPr>
          <w:rFonts w:ascii="Open Sans" w:hAnsi="Open Sans" w:cs="Open Sans"/>
          <w:color w:val="000000"/>
          <w:sz w:val="20"/>
          <w:szCs w:val="20"/>
          <w:lang w:val="pt-BR"/>
        </w:rPr>
      </w:pPr>
      <w:r>
        <w:rPr>
          <w:rFonts w:ascii="Open Sans" w:hAnsi="Open Sans" w:cs="Open Sans"/>
          <w:color w:val="000000"/>
          <w:sz w:val="20"/>
          <w:szCs w:val="20"/>
          <w:lang w:val="pt-BR"/>
        </w:rPr>
        <w:t>Não poderão ser elegíveis as operações suscetíveis de prejudicar a integridade de um espaço da Rede Natura 2000 ou as operações que, não fazendo parte ou sendo necessárias para a gestão de um espaço Natura 2000, sejam suscetíveis de causar efeitos negativos significativos num espaço Natura 2000 e não tenham sido objeto de uma avaliação de impacto adequada sobre os seus objetivos de conservação.</w:t>
      </w:r>
    </w:p>
    <w:p w14:paraId="773DEC14" w14:textId="77777777" w:rsidR="00605D1C" w:rsidRDefault="00000000">
      <w:pPr>
        <w:pStyle w:val="parrafo"/>
        <w:numPr>
          <w:ilvl w:val="0"/>
          <w:numId w:val="1"/>
        </w:numPr>
        <w:spacing w:before="180" w:beforeAutospacing="0" w:after="180" w:afterAutospacing="0"/>
        <w:ind w:left="360"/>
        <w:jc w:val="both"/>
        <w:rPr>
          <w:rFonts w:ascii="Open Sans" w:hAnsi="Open Sans" w:cs="Open Sans"/>
          <w:color w:val="000000"/>
          <w:sz w:val="20"/>
          <w:szCs w:val="20"/>
          <w:lang w:val="pt-BR"/>
        </w:rPr>
      </w:pPr>
      <w:r>
        <w:rPr>
          <w:rFonts w:ascii="Open Sans" w:hAnsi="Open Sans" w:cs="Open Sans"/>
          <w:color w:val="000000"/>
          <w:sz w:val="20"/>
          <w:szCs w:val="20"/>
          <w:lang w:val="pt-BR"/>
        </w:rPr>
        <w:t>Não poderão ser elegíveis operações materiais sobre bens que façam parte do património cultural protegido que não tenham autorização ou acordo da administração competente para a sua proteção.</w:t>
      </w:r>
    </w:p>
    <w:p w14:paraId="1D96B806" w14:textId="77777777" w:rsidR="00605D1C" w:rsidRDefault="00000000">
      <w:pPr>
        <w:pStyle w:val="parrafo"/>
        <w:numPr>
          <w:ilvl w:val="0"/>
          <w:numId w:val="1"/>
        </w:numPr>
        <w:spacing w:before="180" w:beforeAutospacing="0" w:after="180" w:afterAutospacing="0"/>
        <w:ind w:left="360"/>
        <w:jc w:val="both"/>
        <w:rPr>
          <w:rFonts w:ascii="Open Sans" w:hAnsi="Open Sans" w:cs="Open Sans"/>
          <w:color w:val="000000"/>
          <w:sz w:val="20"/>
          <w:szCs w:val="20"/>
          <w:lang w:val="pt-BR"/>
        </w:rPr>
      </w:pPr>
      <w:r>
        <w:rPr>
          <w:rFonts w:ascii="Open Sans" w:hAnsi="Open Sans" w:cs="Open Sans"/>
          <w:color w:val="000000"/>
          <w:sz w:val="20"/>
          <w:szCs w:val="20"/>
          <w:lang w:val="pt-BR"/>
        </w:rPr>
        <w:t>Para projetos que contemplem operações de biomassa florestal recolhida em ambiente natural, devem também identificar as áreas e tipos de vegetação para obter essa biomassa e, no caso de algum dos tipos de vegetação ser um habitat de interesse comunitário, explicar em que condições a biomassa vai ser extraída para evitar causar uma deterioração do estado de conservação devido à perda de espécies características, alteração da sua estrutura ou funcionamento ecológico ou redução da sua superfície, juntamente com um relatório de conformidade da administração competente para a gestão do espaço Natura 2000 afetado.</w:t>
      </w:r>
    </w:p>
    <w:p w14:paraId="3A1E824A" w14:textId="77777777" w:rsidR="00605D1C" w:rsidRDefault="00605D1C">
      <w:pPr>
        <w:pStyle w:val="parrafo"/>
        <w:spacing w:before="180" w:beforeAutospacing="0" w:after="180" w:afterAutospacing="0"/>
        <w:jc w:val="both"/>
        <w:rPr>
          <w:rFonts w:ascii="Open Sans" w:hAnsi="Open Sans" w:cs="Open Sans"/>
          <w:color w:val="000000"/>
          <w:sz w:val="20"/>
          <w:szCs w:val="20"/>
          <w:lang w:val="pt-BR"/>
        </w:rPr>
      </w:pPr>
    </w:p>
    <w:p w14:paraId="3F792EFE" w14:textId="77777777" w:rsidR="00605D1C" w:rsidRDefault="00605D1C">
      <w:pPr>
        <w:pStyle w:val="parrafo"/>
        <w:spacing w:before="180" w:beforeAutospacing="0" w:after="180" w:afterAutospacing="0"/>
        <w:jc w:val="both"/>
        <w:rPr>
          <w:rFonts w:ascii="Open Sans" w:hAnsi="Open Sans" w:cs="Open Sans"/>
          <w:color w:val="000000"/>
          <w:sz w:val="20"/>
          <w:szCs w:val="20"/>
          <w:lang w:val="pt-BR"/>
        </w:rPr>
      </w:pPr>
    </w:p>
    <w:p w14:paraId="270CA582" w14:textId="77777777" w:rsidR="00605D1C" w:rsidRDefault="00000000">
      <w:pPr>
        <w:pStyle w:val="parrafo"/>
        <w:spacing w:before="180" w:beforeAutospacing="0" w:after="180" w:afterAutospacing="0"/>
        <w:jc w:val="both"/>
        <w:rPr>
          <w:rFonts w:ascii="Open Sans" w:hAnsi="Open Sans" w:cs="Open Sans"/>
          <w:color w:val="000000"/>
          <w:sz w:val="20"/>
          <w:szCs w:val="20"/>
          <w:lang w:val="pt-BR"/>
        </w:rPr>
      </w:pPr>
      <w:r>
        <w:rPr>
          <w:rFonts w:ascii="Open Sans" w:hAnsi="Open Sans" w:cs="Open Sans"/>
          <w:color w:val="000000"/>
          <w:sz w:val="20"/>
          <w:szCs w:val="20"/>
          <w:lang w:val="pt-BR"/>
        </w:rPr>
        <w:t>Em seguida, para cada Objetivo Específico, figuram os requisitos para o cumprimento do princípio DNSH:</w:t>
      </w:r>
    </w:p>
    <w:p w14:paraId="2B3640E6" w14:textId="77777777" w:rsidR="00605D1C" w:rsidRDefault="00000000">
      <w:pPr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1. Operações do Objetivo Específico</w:t>
      </w:r>
      <w:r>
        <w:rPr>
          <w:rFonts w:ascii="Open Sans" w:eastAsia="Times New Roman" w:hAnsi="Open Sans" w:cs="Open Sans"/>
          <w:i/>
          <w:iCs/>
          <w:color w:val="000000"/>
          <w:sz w:val="20"/>
          <w:szCs w:val="20"/>
          <w:lang w:val="pt-BR" w:eastAsia="es-ES"/>
        </w:rPr>
        <w:t xml:space="preserve"> «2.4 Promover a adaptação às alterações climáticas, a prevenção dos riscos de catástrofe e a resiliência, tendo em conta abordagens baseadas em ecossistemas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»: </w:t>
      </w:r>
    </w:p>
    <w:p w14:paraId="5B6474C5" w14:textId="77777777" w:rsidR="00605D1C" w:rsidRDefault="00000000">
      <w:pPr>
        <w:pStyle w:val="Prrafodelista"/>
        <w:numPr>
          <w:ilvl w:val="0"/>
          <w:numId w:val="2"/>
        </w:numPr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Para as operações que envolvam atuações materiais no terreno no domínio da gestão dos riscos de inundação, a fim de poder considerar que não são causados danos significativos ao objetivo '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  <w:lang w:val="pt-BR" w:eastAsia="es-ES"/>
        </w:rPr>
        <w:t>3. Utilização sustentável e proteção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 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  <w:lang w:val="pt-BR" w:eastAsia="es-ES"/>
        </w:rPr>
        <w:t>da água e dos recursos marinhos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», deve demonstrar-se plena compatibilidade da operação com os objetivos ambientais da Diretiva-Quadro da Água para as massas de água e zonas protegidas em causa. Em especial, as operações não devem conduzir a uma deterioração do estado nem podem impedir a realização dos objetivos ambientais das massas de água e zonas protegidas afetadas, incluindo operações que resultem na perda de continuidade longitudinal em massas de água de tipo fluvial.</w:t>
      </w:r>
    </w:p>
    <w:p w14:paraId="37E092C4" w14:textId="77777777" w:rsidR="00605D1C" w:rsidRDefault="00605D1C">
      <w:pPr>
        <w:pStyle w:val="Prrafodelista"/>
        <w:rPr>
          <w:rFonts w:ascii="Open Sans" w:hAnsi="Open Sans" w:cs="Open Sans"/>
          <w:sz w:val="20"/>
          <w:szCs w:val="20"/>
          <w:lang w:val="pt-BR"/>
        </w:rPr>
      </w:pPr>
    </w:p>
    <w:p w14:paraId="3D6B43F1" w14:textId="77777777" w:rsidR="00605D1C" w:rsidRDefault="00000000">
      <w:pPr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2. Operações do Objetivo Específico </w:t>
      </w:r>
      <w:r>
        <w:rPr>
          <w:rFonts w:ascii="Open Sans" w:eastAsia="Times New Roman" w:hAnsi="Open Sans" w:cs="Open Sans"/>
          <w:i/>
          <w:iCs/>
          <w:color w:val="000000"/>
          <w:sz w:val="20"/>
          <w:szCs w:val="20"/>
          <w:lang w:val="pt-BR" w:eastAsia="es-ES"/>
        </w:rPr>
        <w:t>2.5. Promover o acesso à água e a gestão sustentável da água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: </w:t>
      </w:r>
    </w:p>
    <w:p w14:paraId="571A4D1D" w14:textId="77777777" w:rsidR="00605D1C" w:rsidRDefault="00000000">
      <w:pPr>
        <w:pStyle w:val="Prrafodelista"/>
        <w:numPr>
          <w:ilvl w:val="0"/>
          <w:numId w:val="3"/>
        </w:numPr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Para as operações que envolvam atuações materiais no terreno que resultem num aumento líquido na pressão por extrações (variação das extrações-variação nos retornos), a fim de poder considerar que não é causado qualquer prejuízo significativo ao objetivo «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  <w:lang w:val="pt-BR" w:eastAsia="es-ES"/>
        </w:rPr>
        <w:t>3. Utilização sustentável e proteção da água e dos recursos marinhos»,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 deverá demonstrar-se plena compatibilidade da operação com os objetivos ambientais da Diretiva-Quadro da Água para as massas de água e zonas protegidas afetadas. Em especial, não serão elegíveis as operações que aumentem a pressão líquida por 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lastRenderedPageBreak/>
        <w:t>extrações em massas de água ou zonas protegidas que originalmente não cumpram os seus objetivos ambientais e estejam sujeitas a uma pressão de extração significativa. Neste mesmo tipo de operação, para se considerar que não prejudicam significativamente o objetivo «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  <w:lang w:val="pt-BR" w:eastAsia="es-ES"/>
        </w:rPr>
        <w:t>2. Adaptação às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 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  <w:lang w:val="pt-BR" w:eastAsia="es-ES"/>
        </w:rPr>
        <w:t>alterações climáticas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», deve demonstrar-se que o seu efeito sobre a pressão por extrações, juntamente com a redução dos recursos esperados em resultado das alterações climáticas, não pode comprometer a médio e longo prazo o cumprimento dos objetivos ambientais das massas de água e das zonas protegidas afetadas. Em especial, nas regiões hidrográficas, sistemas de exploração ou massas de água em que se prevê uma redução dos recursos hídricos em resultado das alterações climáticas e a taxa de exploração da água WEI+ é superior a 40%, não poderão ser elegíveis operações que impliquem um aumento líquido da pressão exercida por extrações.</w:t>
      </w:r>
    </w:p>
    <w:p w14:paraId="270D4633" w14:textId="77777777" w:rsidR="00605D1C" w:rsidRDefault="00605D1C">
      <w:pPr>
        <w:pStyle w:val="Prrafodelista"/>
        <w:rPr>
          <w:rFonts w:ascii="Open Sans" w:hAnsi="Open Sans" w:cs="Open Sans"/>
          <w:sz w:val="20"/>
          <w:szCs w:val="20"/>
          <w:lang w:val="pt-BR"/>
        </w:rPr>
      </w:pPr>
    </w:p>
    <w:p w14:paraId="434AE540" w14:textId="77777777" w:rsidR="00605D1C" w:rsidRDefault="00000000">
      <w:pPr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3. Operações do Objetivo Específico 2.7 </w:t>
      </w:r>
      <w:r>
        <w:rPr>
          <w:rFonts w:ascii="Open Sans" w:eastAsia="Times New Roman" w:hAnsi="Open Sans" w:cs="Open Sans"/>
          <w:i/>
          <w:iCs/>
          <w:color w:val="000000"/>
          <w:sz w:val="20"/>
          <w:szCs w:val="20"/>
          <w:lang w:val="pt-BR" w:eastAsia="es-ES"/>
        </w:rPr>
        <w:t>Reforçar a proteção e preservação da natureza, a biodiversidade e as infraestruturas verdes, inclusive nas zonas urbanas, e reduzir todas as formas de poluição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: </w:t>
      </w:r>
    </w:p>
    <w:p w14:paraId="2B49901C" w14:textId="77777777" w:rsidR="00605D1C" w:rsidRDefault="00000000">
      <w:pPr>
        <w:pStyle w:val="Prrafodelista"/>
        <w:numPr>
          <w:ilvl w:val="0"/>
          <w:numId w:val="3"/>
        </w:numPr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Para as operações de valorização de biomassa extraída de terrenos florestais, será necessário fornecer uma identificação cartográfica da área geográfica e dos tipos de vegetação, incluindo, se aplicável, os tipos de habitats de interesse comunitário dos quais se prevê a sua extração, bem como o modo como essa extração deve ser efetuada. A fim de poder considerar que estas operações não prejudicam significativamente o objetivo «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  <w:lang w:val="pt-BR" w:eastAsia="es-ES"/>
        </w:rPr>
        <w:t>6. Proteção e recuperação da biodiversidade e dos ecossistemas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», deve demonstrar-se que não deterioram nem impedem a manutenção dos habitats de interesse comunitário afetados num estado de conservação favorável. Em especial, não poderão ser elegíveis as operações que afetem negativamente a extensão, a composição, a estrutura ou o funcionamento ecológico de um habitat de interesse comunitário, impedindo que o seu estado de conservação à escala da zona afetada seja favorável.</w:t>
      </w:r>
    </w:p>
    <w:p w14:paraId="402A3D11" w14:textId="77777777" w:rsidR="00605D1C" w:rsidRDefault="00605D1C">
      <w:pPr>
        <w:pStyle w:val="Prrafodelista"/>
        <w:ind w:left="360"/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</w:p>
    <w:p w14:paraId="2F75862D" w14:textId="77777777" w:rsidR="00605D1C" w:rsidRDefault="00000000">
      <w:pPr>
        <w:jc w:val="both"/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4. Operações do Objetivo Específico </w:t>
      </w:r>
      <w:r>
        <w:rPr>
          <w:rFonts w:ascii="Open Sans" w:eastAsia="Times New Roman" w:hAnsi="Open Sans" w:cs="Open Sans"/>
          <w:i/>
          <w:iCs/>
          <w:color w:val="000000"/>
          <w:sz w:val="20"/>
          <w:szCs w:val="20"/>
          <w:lang w:val="pt-BR" w:eastAsia="es-ES"/>
        </w:rPr>
        <w:t>4.6 Reforçar o papel da cultura e do turismo sustentável no desenvolvimento económico, na inclusão social e na inovação social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 xml:space="preserve">: </w:t>
      </w:r>
    </w:p>
    <w:p w14:paraId="4AA92D63" w14:textId="77777777" w:rsidR="00605D1C" w:rsidRDefault="00000000">
      <w:pPr>
        <w:pStyle w:val="Prrafodelista"/>
        <w:numPr>
          <w:ilvl w:val="0"/>
          <w:numId w:val="3"/>
        </w:numPr>
        <w:spacing w:before="180" w:after="180"/>
        <w:jc w:val="both"/>
        <w:rPr>
          <w:rFonts w:ascii="Open Sans" w:hAnsi="Open Sans" w:cs="Open Sans"/>
          <w:b/>
          <w:bCs/>
          <w:color w:val="92D050"/>
          <w:sz w:val="20"/>
          <w:szCs w:val="20"/>
          <w:lang w:val="pt-BR"/>
        </w:rPr>
      </w:pP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As operações deste objetivo específico que impliquem um aumento direto da pressão turística sobre o ambiente natural, terrestre ou marinho terão de representar geograficamente o seu âmbito territorial de afetação. Nos casos que impliquem um aumento direto da pressão turística sobre as zonas naturais protegidas de qualquer tipo, incluindo zonas da Rede Natura 2000, a fim de se considerar que não causam danos significativos ao objetivo "</w:t>
      </w:r>
      <w:r>
        <w:rPr>
          <w:rFonts w:ascii="Open Sans" w:eastAsia="Times New Roman" w:hAnsi="Open Sans" w:cs="Open Sans"/>
          <w:b/>
          <w:bCs/>
          <w:color w:val="000000"/>
          <w:sz w:val="20"/>
          <w:szCs w:val="20"/>
          <w:lang w:val="pt-BR" w:eastAsia="es-ES"/>
        </w:rPr>
        <w:t>6. Proteção e recuperação da biodiversidade e dos ecossistemas</w:t>
      </w:r>
      <w:r>
        <w:rPr>
          <w:rFonts w:ascii="Open Sans" w:eastAsia="Times New Roman" w:hAnsi="Open Sans" w:cs="Open Sans"/>
          <w:color w:val="000000"/>
          <w:sz w:val="20"/>
          <w:szCs w:val="20"/>
          <w:lang w:val="pt-BR" w:eastAsia="es-ES"/>
        </w:rPr>
        <w:t>" deverá demonstrar-se a sua compatibilidade com a regulamentação de usos no espaço constante do seu instrumento de gestão ou, na sua ausência, deve dispor do consentimento expresso da sua administração gestora.</w:t>
      </w:r>
    </w:p>
    <w:sectPr w:rsidR="00605D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6BB51" w14:textId="77777777" w:rsidR="00214974" w:rsidRDefault="00214974">
      <w:pPr>
        <w:spacing w:line="240" w:lineRule="auto"/>
      </w:pPr>
      <w:r>
        <w:separator/>
      </w:r>
    </w:p>
  </w:endnote>
  <w:endnote w:type="continuationSeparator" w:id="0">
    <w:p w14:paraId="2097454A" w14:textId="77777777" w:rsidR="00214974" w:rsidRDefault="00214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5A347" w14:textId="77777777" w:rsidR="00605D1C" w:rsidRDefault="00605D1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2215901"/>
      <w:docPartObj>
        <w:docPartGallery w:val="AutoText"/>
      </w:docPartObj>
    </w:sdtPr>
    <w:sdtContent>
      <w:p w14:paraId="342A946F" w14:textId="77777777" w:rsidR="00605D1C" w:rsidRDefault="0000000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8D342C" w14:textId="77777777" w:rsidR="00605D1C" w:rsidRDefault="00605D1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FBF3" w14:textId="77777777" w:rsidR="00605D1C" w:rsidRDefault="00605D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C582C" w14:textId="77777777" w:rsidR="00214974" w:rsidRDefault="00214974">
      <w:pPr>
        <w:spacing w:after="0"/>
      </w:pPr>
      <w:r>
        <w:separator/>
      </w:r>
    </w:p>
  </w:footnote>
  <w:footnote w:type="continuationSeparator" w:id="0">
    <w:p w14:paraId="3EBB0424" w14:textId="77777777" w:rsidR="00214974" w:rsidRDefault="002149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046BA" w14:textId="77777777" w:rsidR="00605D1C" w:rsidRDefault="00605D1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F0FD" w14:textId="77777777" w:rsidR="00605D1C" w:rsidRDefault="00000000">
    <w:pPr>
      <w:pStyle w:val="Encabezado"/>
    </w:pPr>
    <w:r>
      <w:rPr>
        <w:noProof/>
      </w:rPr>
      <w:drawing>
        <wp:inline distT="0" distB="0" distL="0" distR="0" wp14:anchorId="41875328" wp14:editId="7F8E062F">
          <wp:extent cx="3324225" cy="676275"/>
          <wp:effectExtent l="0" t="0" r="0" b="0"/>
          <wp:docPr id="1672798245" name="Imagen 1672798245" descr="Imagem contendo interface gráfica do usuári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2798245" name="Imagen 1672798245" descr="Imagem contendo interface gráfica do usuário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6" t="42797" r="20287" b="40599"/>
                  <a:stretch>
                    <a:fillRect/>
                  </a:stretch>
                </pic:blipFill>
                <pic:spPr>
                  <a:xfrm>
                    <a:off x="0" y="0"/>
                    <a:ext cx="3324225" cy="67627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EC158" w14:textId="77777777" w:rsidR="00605D1C" w:rsidRDefault="00605D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50145"/>
    <w:multiLevelType w:val="multilevel"/>
    <w:tmpl w:val="0EF501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133D9"/>
    <w:multiLevelType w:val="multilevel"/>
    <w:tmpl w:val="243133D9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680D7C"/>
    <w:multiLevelType w:val="multilevel"/>
    <w:tmpl w:val="39680D7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851512">
    <w:abstractNumId w:val="0"/>
  </w:num>
  <w:num w:numId="2" w16cid:durableId="1754082964">
    <w:abstractNumId w:val="2"/>
  </w:num>
  <w:num w:numId="3" w16cid:durableId="1264729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D9C"/>
    <w:rsid w:val="000153DB"/>
    <w:rsid w:val="000209E5"/>
    <w:rsid w:val="00060A89"/>
    <w:rsid w:val="000C61C8"/>
    <w:rsid w:val="000D1D2C"/>
    <w:rsid w:val="001378D8"/>
    <w:rsid w:val="0015347A"/>
    <w:rsid w:val="00214974"/>
    <w:rsid w:val="00246BBB"/>
    <w:rsid w:val="00256CAF"/>
    <w:rsid w:val="002606BE"/>
    <w:rsid w:val="00267139"/>
    <w:rsid w:val="00283072"/>
    <w:rsid w:val="00294EFF"/>
    <w:rsid w:val="002B514A"/>
    <w:rsid w:val="002C28B9"/>
    <w:rsid w:val="002D3C6C"/>
    <w:rsid w:val="002D7CEA"/>
    <w:rsid w:val="002E7DEB"/>
    <w:rsid w:val="00301EEA"/>
    <w:rsid w:val="0030437E"/>
    <w:rsid w:val="00354F73"/>
    <w:rsid w:val="00375165"/>
    <w:rsid w:val="003773B4"/>
    <w:rsid w:val="00406E99"/>
    <w:rsid w:val="00421AA7"/>
    <w:rsid w:val="004402FC"/>
    <w:rsid w:val="00467D9C"/>
    <w:rsid w:val="00475E9E"/>
    <w:rsid w:val="004A3D23"/>
    <w:rsid w:val="004D0831"/>
    <w:rsid w:val="004D5803"/>
    <w:rsid w:val="004F1D35"/>
    <w:rsid w:val="0054029C"/>
    <w:rsid w:val="00551B4C"/>
    <w:rsid w:val="0057494E"/>
    <w:rsid w:val="00583ACC"/>
    <w:rsid w:val="005D1A0A"/>
    <w:rsid w:val="005D79F6"/>
    <w:rsid w:val="00605D1C"/>
    <w:rsid w:val="0062441D"/>
    <w:rsid w:val="00634236"/>
    <w:rsid w:val="00677CFA"/>
    <w:rsid w:val="006D1F58"/>
    <w:rsid w:val="00726F8F"/>
    <w:rsid w:val="007731EC"/>
    <w:rsid w:val="00791DF2"/>
    <w:rsid w:val="008221AA"/>
    <w:rsid w:val="00842E20"/>
    <w:rsid w:val="008552BD"/>
    <w:rsid w:val="00886815"/>
    <w:rsid w:val="008B530F"/>
    <w:rsid w:val="008C4EF6"/>
    <w:rsid w:val="0091188F"/>
    <w:rsid w:val="00927446"/>
    <w:rsid w:val="00960086"/>
    <w:rsid w:val="00960F49"/>
    <w:rsid w:val="009659B7"/>
    <w:rsid w:val="009939B3"/>
    <w:rsid w:val="009A47C0"/>
    <w:rsid w:val="009B3DF8"/>
    <w:rsid w:val="009C6DFA"/>
    <w:rsid w:val="00A13839"/>
    <w:rsid w:val="00A53479"/>
    <w:rsid w:val="00A7032A"/>
    <w:rsid w:val="00AD2874"/>
    <w:rsid w:val="00B61AD2"/>
    <w:rsid w:val="00B94682"/>
    <w:rsid w:val="00BA1580"/>
    <w:rsid w:val="00BB637C"/>
    <w:rsid w:val="00BE770E"/>
    <w:rsid w:val="00BF1DD7"/>
    <w:rsid w:val="00C35C7B"/>
    <w:rsid w:val="00C52B52"/>
    <w:rsid w:val="00CA0006"/>
    <w:rsid w:val="00CA1DD9"/>
    <w:rsid w:val="00D51107"/>
    <w:rsid w:val="00D91C21"/>
    <w:rsid w:val="00DA155E"/>
    <w:rsid w:val="00DC5AF3"/>
    <w:rsid w:val="00E23068"/>
    <w:rsid w:val="00EA0FAD"/>
    <w:rsid w:val="00ED3A7A"/>
    <w:rsid w:val="00ED5429"/>
    <w:rsid w:val="00EE3207"/>
    <w:rsid w:val="00F0444C"/>
    <w:rsid w:val="00F0591D"/>
    <w:rsid w:val="00F52145"/>
    <w:rsid w:val="00F568AD"/>
    <w:rsid w:val="00F60EF1"/>
    <w:rsid w:val="00F856F0"/>
    <w:rsid w:val="00F874E3"/>
    <w:rsid w:val="00FF67AE"/>
    <w:rsid w:val="2720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D596"/>
  <w15:docId w15:val="{D785926D-840E-4719-A0AC-22CD9643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Refdenotaalpie">
    <w:name w:val="footnote reference"/>
    <w:basedOn w:val="Fuentedeprrafopredeter"/>
    <w:uiPriority w:val="99"/>
    <w:unhideWhenUsed/>
    <w:qFormat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paragraph" w:styleId="Textonotapie">
    <w:name w:val="footnote text"/>
    <w:basedOn w:val="Normal"/>
    <w:link w:val="TextonotapieCar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notapieCar">
    <w:name w:val="Texto nota pie Car"/>
    <w:basedOn w:val="Fuentedeprrafopredeter"/>
    <w:link w:val="Textonotapie"/>
    <w:uiPriority w:val="99"/>
    <w:qFormat/>
    <w:rPr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paragraph" w:styleId="Prrafodelista">
    <w:name w:val="List Paragraph"/>
    <w:basedOn w:val="Normal"/>
    <w:link w:val="PrrafodelistaCar"/>
    <w:uiPriority w:val="34"/>
    <w:qFormat/>
    <w:pPr>
      <w:ind w:left="720"/>
      <w:contextualSpacing/>
    </w:pPr>
    <w:rPr>
      <w:kern w:val="0"/>
      <w:lang w:val="pl-PL"/>
      <w14:ligatures w14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Pr>
      <w:kern w:val="0"/>
      <w:lang w:val="pl-PL"/>
      <w14:ligatures w14:val="none"/>
    </w:rPr>
  </w:style>
  <w:style w:type="paragraph" w:customStyle="1" w:styleId="Progozatekst">
    <w:name w:val="!Progoza_tekst"/>
    <w:basedOn w:val="Normal"/>
    <w:qFormat/>
    <w:pPr>
      <w:spacing w:after="120" w:line="276" w:lineRule="auto"/>
      <w:ind w:firstLine="284"/>
      <w:jc w:val="both"/>
    </w:pPr>
    <w:rPr>
      <w:rFonts w:ascii="Calibri Light" w:eastAsia="Calibri" w:hAnsi="Calibri Light" w:cs="Calibri Light"/>
      <w:bCs/>
      <w:kern w:val="0"/>
      <w:lang w:val="pl-PL" w:eastAsia="pl-PL"/>
      <w14:ligatures w14:val="none"/>
    </w:rPr>
  </w:style>
  <w:style w:type="table" w:customStyle="1" w:styleId="Tablaconcuadrcula1clara-nfasis51">
    <w:name w:val="Tabla con cuadrícula 1 clara - Énfasis 51"/>
    <w:basedOn w:val="Tablanormal"/>
    <w:uiPriority w:val="46"/>
    <w:rPr>
      <w:lang w:val="pl-PL"/>
    </w:rPr>
    <w:tblPr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rafo2">
    <w:name w:val="parrafo_2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customStyle="1" w:styleId="parrafo">
    <w:name w:val="parrafo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qFormat/>
    <w:rPr>
      <w:sz w:val="20"/>
      <w:szCs w:val="20"/>
    </w:rPr>
  </w:style>
  <w:style w:type="paragraph" w:customStyle="1" w:styleId="Revisin1">
    <w:name w:val="Revisión1"/>
    <w:hidden/>
    <w:uiPriority w:val="99"/>
    <w:semiHidden/>
    <w:rPr>
      <w:kern w:val="2"/>
      <w:sz w:val="22"/>
      <w:szCs w:val="22"/>
      <w:lang w:val="es-ES" w:eastAsia="en-US"/>
      <w14:ligatures w14:val="standardContextua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Textodelmarcadordeposicin">
    <w:name w:val="Placeholder Text"/>
    <w:basedOn w:val="Fuentedeprrafopredeter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3FD9A-B510-451E-B5E3-5A8CD570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1667</Words>
  <Characters>9008</Characters>
  <Application>Microsoft Office Word</Application>
  <DocSecurity>0</DocSecurity>
  <Lines>75</Lines>
  <Paragraphs>21</Paragraphs>
  <ScaleCrop>false</ScaleCrop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Lázaro</dc:creator>
  <cp:lastModifiedBy>Alexandra Lopes</cp:lastModifiedBy>
  <cp:revision>3</cp:revision>
  <dcterms:created xsi:type="dcterms:W3CDTF">2024-10-17T09:46:00Z</dcterms:created>
  <dcterms:modified xsi:type="dcterms:W3CDTF">2024-10-17T09:50:00Z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CC2C8B0AC7214C9BBFE085113C06EF91_12</vt:lpwstr>
  </property>
</Properties>
</file>