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Rapport 2.5.4 — Recommandations aux créateurs de solutions et aux prestataires de services liés à la numérisation de l’eau dans l’irrigation</w:t>
      </w:r>
    </w:p>
    <w:p>
      <w:pPr>
        <w:jc w:val="center"/>
      </w:pPr>
      <w:r>
        <w:t>Version 2.0</w:t>
        <w:br/>
        <w:t>Mars 2025</w:t>
      </w:r>
    </w:p>
    <w:p>
      <w:pPr>
        <w:pStyle w:val="Heading1"/>
      </w:pPr>
      <w:r>
        <w:t>Sommaire</w:t>
      </w:r>
    </w:p>
    <w:p>
      <w:pPr>
        <w:spacing w:after="120"/>
      </w:pPr>
      <w:r>
        <w:t>1. Introduction.</w:t>
      </w:r>
    </w:p>
    <w:p>
      <w:pPr>
        <w:spacing w:after="120"/>
      </w:pPr>
      <w:r>
        <w:t>2. La numérisation comme objectif dans la gestion de l’eau.</w:t>
      </w:r>
    </w:p>
    <w:p>
      <w:pPr>
        <w:spacing w:after="120"/>
      </w:pPr>
      <w:r>
        <w:t>3. Optimisation des solutions de numérisation pour l’irrigation.</w:t>
      </w:r>
    </w:p>
    <w:p>
      <w:pPr>
        <w:spacing w:after="120"/>
      </w:pPr>
      <w:r>
        <w:t>4. Recommandations aux créateurs de solutions de numérisation et aux prestataires de services associés.</w:t>
      </w:r>
    </w:p>
    <w:p>
      <w:pPr>
        <w:spacing w:after="120"/>
      </w:pPr>
      <w:r>
        <w:t>4.1. Organisation de l’information.</w:t>
      </w:r>
    </w:p>
    <w:p>
      <w:pPr>
        <w:spacing w:after="120"/>
      </w:pPr>
      <w:r>
        <w:t>4.2. Gestion des données.</w:t>
      </w:r>
    </w:p>
    <w:p>
      <w:pPr>
        <w:spacing w:after="120"/>
      </w:pPr>
      <w:r>
        <w:t>4.3. Accès et autorisations.</w:t>
      </w:r>
    </w:p>
    <w:p>
      <w:pPr>
        <w:spacing w:after="120"/>
      </w:pPr>
      <w:r>
        <w:t>4.4. Coûts.</w:t>
      </w:r>
    </w:p>
    <w:p>
      <w:pPr>
        <w:spacing w:after="120"/>
      </w:pPr>
      <w:r>
        <w:t>4.5. Flux de données et interopérabilité.</w:t>
      </w:r>
    </w:p>
    <w:p>
      <w:pPr>
        <w:pStyle w:val="Heading1"/>
      </w:pPr>
      <w:r>
        <w:t>1. Introduction</w:t>
      </w:r>
    </w:p>
    <w:p>
      <w:pPr>
        <w:spacing w:after="120"/>
      </w:pPr>
      <w:r>
        <w:t>La numérisation des processus de gestion est une réalité dans de nombreux domaines de la production agricole. Dans les exploitations agricoles irriguées, la numérisation est un instrument indispensable pour accroître l’efficacité de l’eau utilisée, notamment en situation de pénurie ou de sécheresse hydrologique.</w:t>
      </w:r>
    </w:p>
    <w:p>
      <w:pPr>
        <w:spacing w:after="120"/>
      </w:pPr>
      <w:r>
        <w:t>Les deux tiers de l’eau régulée, dans les réservoirs et les aquifères, utilisée en Espagne sont destinés à la production agricole. En situation de déficit hydrique, l’amélioration de son efficacité est indispensable à la durabilité, tant économique du secteur agricole qu’alimentaire pour la société elle-même. Il est donc indispensable de numériser les processus de gestion de l’eau dans les communautés d’irrigants (captage, transport et distribution), ainsi que la mise en œuvre de systèmes d’irrigation sous pression et leur programmation appropriée (dosage et fréquence de l’eau d’irrigation).</w:t>
      </w:r>
    </w:p>
    <w:p>
      <w:pPr>
        <w:spacing w:after="120"/>
      </w:pPr>
      <w:r>
        <w:t>Traditionnellement, la numérisation du secteur agricole a été réalisée à partir de la copie et de l’adaptation de différents processus et instruments de numérisation développés dans d’autres secteurs économiques, davantage enclins à financer des développements numériques. La faible rentabilité économique de la production agricole primaire constitue un frein au développement de nouvelles technologies numériques chez les agriculteurs, bien qu’il existe des mécanismes de compensation pour mettre en œuvre des technologies numériques destinées à améliorer l’efficacité de la gestion collective de l’eau, tant par l’intermédiaire des communautés d’usagers et/ou d’irrigants (par exemple : PERTE de numérisation de l’irrigation, en Espagne, etc.) que par la mise en œuvre d’instruments et de technologies d’irrigation de précision à la parcelle (par exemple : PAC 2023-2027. Aides à l’amélioration de la compétitivité des exploitations agricoles en Espagne, etc.).</w:t>
      </w:r>
    </w:p>
    <w:p>
      <w:pPr>
        <w:spacing w:after="120"/>
      </w:pPr>
      <w:r>
        <w:t>Les créateurs ou adaptateurs de solutions numériques et leur adaptation au domaine agricole connaissent généralement avec précision la technologie qu’ils proposent, mais peuvent parfois méconnaître les motivations et les spécificités qui caractérisent la prise de décision dans le secteur agricole.</w:t>
      </w:r>
    </w:p>
    <w:p>
      <w:pPr>
        <w:spacing w:after="120"/>
      </w:pPr>
      <w:r>
        <w:t>En raison de l’importance de rapprocher deux mondes, le secteur agricole et les développeurs de processus et d’instruments de numérisation, le présent document est élaboré dans le cadre du projet Smart Green Water afin de faciliter la création et la mise en œuvre de ces services numériques.</w:t>
      </w:r>
    </w:p>
    <w:p>
      <w:pPr>
        <w:pStyle w:val="Heading1"/>
      </w:pPr>
      <w:r>
        <w:t>2. La numérisation comme objectif dans la gestion de l’eau</w:t>
      </w:r>
    </w:p>
    <w:p>
      <w:pPr>
        <w:spacing w:after="120"/>
      </w:pPr>
      <w:r>
        <w:t>La numérisation permet de capturer et de mesurer toute information afin de la structurer dans des bases de données et de la récupérer sous de nouveaux formats. Elle présente deux grands avantages : la rapidité des mesures et l’accès à l’information élaborée. La gestion de l’eau sur un territoire est toujours complexe, d’autant plus lorsqu’il ne s’agit pas d’une ressource illimitée et qu’elle se trouve en situation de déficit, comme cela arrive fréquemment dans l’Europe méditerranéenne.</w:t>
      </w:r>
    </w:p>
    <w:p>
      <w:pPr>
        <w:spacing w:after="120"/>
      </w:pPr>
      <w:r>
        <w:t>Par conséquent, la numérisation des informations relatives à l’eau agricole, qu’il s’agisse de son captage, de son transport et de sa distribution au sein des communautés d’irrigants, ou de sa distribution à la parcelle et de son application aux cultures afin de maximiser la production agricole et l’efficacité de transformation de l’eau en produits agricoles, puis en denrées alimentaires, est indispensable à la gestion des ressources au XXIe siècle.</w:t>
      </w:r>
    </w:p>
    <w:p>
      <w:pPr>
        <w:spacing w:after="120"/>
      </w:pPr>
      <w:r>
        <w:t>Bien que l’eau soit une ressource publique, sa gestion privative pour la production d’aliments et de biens économiques doit respecter des critères d’efficacité afin de ne pas prélever davantage de ressources que ce qui est indispensable au respect du cycle naturel de l’eau. Ce critère est renforcé par la Directive-cadre sur l’eau (directive 2000/60/CE), approuvée il y a déjà 25 ans, ainsi que par les projections climatiques décrites par de nombreux organismes et experts climatologues.</w:t>
      </w:r>
    </w:p>
    <w:p>
      <w:pPr>
        <w:spacing w:after="120"/>
      </w:pPr>
      <w:r>
        <w:t>La modernisation de l’irrigation, avec l’eau sous pression pour les systèmes d’aspersion et de goutte-à-goutte, a entraîné une transformation de l’irrigation et une amélioration de l’efficacité de transformation de l’eau. Le développement des technologies de l’information et de la communication, ainsi que l’apparition de capteurs numériques, constituent une nouvelle étape technologique pour la gestion de l’eau agricole.</w:t>
      </w:r>
    </w:p>
    <w:p>
      <w:pPr>
        <w:spacing w:after="120"/>
      </w:pPr>
      <w:r>
        <w:t>Les spécificités du secteur agricole diffèrent de celles d’autres secteurs économiques ; l’adaptation des technologies numériques n’est donc généralement pas identique à celle qui est habituelle dans d’autres secteurs économiques. C’est pourquoi le présent rapport « Recommandations aux créateurs de solutions et aux prestataires de services liés à la numérisation de l’eau dans l’irrigation » a été élaboré.</w:t>
      </w:r>
    </w:p>
    <w:p>
      <w:pPr>
        <w:pStyle w:val="Heading1"/>
      </w:pPr>
      <w:r>
        <w:t>3. Optimisation des solutions de numérisation pour l’irrigation</w:t>
      </w:r>
    </w:p>
    <w:p>
      <w:pPr>
        <w:spacing w:after="120"/>
      </w:pPr>
      <w:r>
        <w:t>Dans les grandes lignes, les solutions de numérisation peuvent avoir deux catégories d’utilisateurs dans le domaine agricole qui, en fonction de leur formation et de leur capacité habituelle à utiliser les technologies, déterminent deux profils d’utilisateurs différents, avec des capacités et des compétences distinctes pour interpréter les informations numériques qu’ils doivent gérer :</w:t>
      </w:r>
    </w:p>
    <w:p>
      <w:pPr>
        <w:spacing w:after="120"/>
      </w:pPr>
      <w:r>
        <w:t>• les agriculteurs irrigants, qui s’occupent habituellement de la programmation de l’irrigation à la parcelle ;</w:t>
      </w:r>
    </w:p>
    <w:p>
      <w:pPr>
        <w:spacing w:after="120"/>
      </w:pPr>
      <w:r>
        <w:t>• les techniciens-conseils, qu’ils appartiennent aux communautés d’irrigants ou à des groupements de producteurs agricoles.</w:t>
      </w:r>
    </w:p>
    <w:p>
      <w:pPr>
        <w:spacing w:after="120"/>
      </w:pPr>
      <w:r>
        <w:t>Il est évident que ces catégories d’utilisateurs peuvent être floues et se chevaucher dans de nombreux cas. Cependant, on peut généralement les distinguer selon leur environnement habituel — le terrain ou le bureau — et selon les ressources technologiques dont ils disposent pendant la majeure partie de leur journée de travail, à savoir le téléphone mobile ou l’ordinateur. Ces ressources technologiques doivent donc constituer l’interface permettant d’interagir avec chaque utilisateur.</w:t>
      </w:r>
    </w:p>
    <w:p>
      <w:pPr>
        <w:spacing w:after="120"/>
      </w:pPr>
      <w:r>
        <w:t>La numérisation visant à améliorer la gestion de l’eau d’irrigation doit rapprocher l’information de l’utilisateur et la rendre compréhensible pour chaque catégorie d’utilisateur, afin qu’il puisse prendre les décisions les plus optimales à chaque moment. Ces solutions doivent être compréhensibles et intuitives et, dans chaque cas, faciles à utiliser et adaptées à la situation requise.</w:t>
      </w:r>
    </w:p>
    <w:p>
      <w:pPr>
        <w:spacing w:after="120"/>
      </w:pPr>
      <w:r>
        <w:t>Parallèlement, ces solutions numériques doivent avoir un coût proportionnel au bénéfice perçu par l’utilisateur et, par conséquent, leur investissement et leur adoption technologique doivent être rentables. Dans la gestion de l’eau agricole, il existe le paradoxe selon lequel l’eau la plus chère est celle dont on ne dispose pas. Ainsi, moins l’eau est disponible, plus on investit dans sa gestion et son efficacité. La numérisation pour la prise de décision est un investissement qui doit présenter un bon équilibre entre coût et bénéfice, même si plus la pénurie d’eau est importante, plus le retour économique de l’acquisition de technologies est facile.</w:t>
      </w:r>
    </w:p>
    <w:p>
      <w:pPr>
        <w:pStyle w:val="Heading1"/>
      </w:pPr>
      <w:r>
        <w:t>4. Recommandations aux créateurs de solutions de numérisation et aux prestataires de services associés</w:t>
      </w:r>
    </w:p>
    <w:p>
      <w:pPr>
        <w:spacing w:after="120"/>
      </w:pPr>
      <w:r>
        <w:t>Les technologies numériques destinées à optimiser la gestion des ressources en eau dans l’irrigation doivent être efficaces, pratiques et répondre aux préoccupations des utilisateurs, qu’il s’agisse d’agriculteurs ou de techniciens-conseils. À cette fin, il est recommandé que la présentation de la ressource numérique et sa présentation à l’utilisateur soient mises en œuvre, dans leur phase finale, avec les utilisateurs eux-mêmes. Ce développement final permet d’adapter efficacement la solution aux attentes des utilisateurs et de maintenir son utilisation de manière permanente dans le temps.</w:t>
      </w:r>
    </w:p>
    <w:p>
      <w:pPr>
        <w:spacing w:after="120"/>
      </w:pPr>
      <w:r>
        <w:t>Il existe de mauvais exemples de transfert de technologies numériques pour la gestion de l’eau sans prise en compte des spécificités qui caractérisent les principaux utilisateurs agricoles, avec certains échecs d’une technologie numérique très précise mais difficile à interpréter pour prendre les décisions au moment opportun. C’est pourquoi il est recommandé aux créateurs de solutions de numérisation et aux prestataires de services associés de développer la phase finale de la solution numérique conjointement avec ses utilisateurs prévisibles. Ceux-ci contribueront à la configuration de l’interface finale et à la définition de l’information numérique appropriée afin de faciliter ensuite la prise de décision la plus opportune.</w:t>
      </w:r>
    </w:p>
    <w:p>
      <w:pPr>
        <w:spacing w:after="120"/>
      </w:pPr>
      <w:r>
        <w:t>En outre, il est nécessaire de tenir compte de diverses suggestions concernant les différents aspects de la mise en œuvre des solutions numériques, comme décrit ci-dessous.</w:t>
      </w:r>
    </w:p>
    <w:p>
      <w:pPr>
        <w:pStyle w:val="Heading1"/>
      </w:pPr>
      <w:r>
        <w:t>4.1. Organisation de l’information</w:t>
      </w:r>
    </w:p>
    <w:p>
      <w:pPr>
        <w:spacing w:after="120"/>
      </w:pPr>
      <w:r>
        <w:t>Il est très probable que les informations gérées par les services liés à la numérisation de l’eau dans l’irrigation devront être structurées dans un Système d’information géographique (SIG). La plupart des données gérées feront référence à des coordonnées géographiques précises et ce référencement permettra de relier les données entre elles.</w:t>
      </w:r>
    </w:p>
    <w:p>
      <w:pPr>
        <w:spacing w:after="120"/>
      </w:pPr>
      <w:r>
        <w:t>Les différentes couches d’information gérées par le SIG comprendront des paramètres descriptifs pratiquement constants, tels que l’altitude du terrain, le tracé des infrastructures ou les limites des parcelles, des paramètres descriptifs changeant d’une campagne à l’autre, comme le type de culture, ainsi que des variables pouvant être mises à jour quotidiennement, voire plus fréquemment, par exemple les données relatives au volume d’eau apporté à une parcelle donnée jusqu’à la date considérée.</w:t>
      </w:r>
    </w:p>
    <w:p>
      <w:pPr>
        <w:spacing w:after="120"/>
      </w:pPr>
      <w:r>
        <w:t>Par conséquent, certaines couches du SIG seront chargées une seule fois et mises à jour très occasionnellement, tandis que d’autres devront l’être de manière récurrente et nécessiteront donc une interface pratique à cet effet ; d’autres encore devront être mises à jour au moyen de certains calculs qui seront probablement effectués automatiquement. Enfin, certaines couches d’information pourront provenir de sources externes par l’intermédiaire d’une API, par exemple la connexion à des capteurs ou à des actionneurs.</w:t>
      </w:r>
    </w:p>
    <w:p>
      <w:pPr>
        <w:spacing w:after="120"/>
      </w:pPr>
      <w:r>
        <w:t>Dans le contexte des SIG destinés à la numérisation de l’irrigation, il peut être pertinent de considérer différents niveaux, chacun correspondant à une zone géographique composée d’autres géométries nécessitant une visualisation ou une gestion individualisée.</w:t>
      </w:r>
    </w:p>
    <w:p>
      <w:pPr>
        <w:spacing w:after="120"/>
      </w:pPr>
      <w:r>
        <w:t>En ce qui concerne la gestion collective de l’eau, il peut être pertinent de considérer les niveaux suivants :</w:t>
      </w:r>
    </w:p>
    <w:p>
      <w:pPr>
        <w:spacing w:after="120"/>
      </w:pPr>
      <w:r>
        <w:t>• Communauté générale. Certaines très grandes communautés peuvent être constituées par l’agrégation de communautés de base. Dans ces cas, il peut être utile de pouvoir gérer les deux niveaux d’agrégation et d’accès aux données.</w:t>
      </w:r>
    </w:p>
    <w:p>
      <w:pPr>
        <w:spacing w:after="120"/>
      </w:pPr>
      <w:r>
        <w:t>• Communauté de base. Elle correspond au principal niveau de gestion collective de l’eau. Elle peut regrouper directement les parcelles individuelles gérées par les irrigants, ou il peut exister des niveaux intermédiaires de gestion liés à l’infrastructure, tels que le découpage en secteurs associé aux branches des conduites, aux zones de pompage, aux groupes de bornes d’irrigation, etc.</w:t>
      </w:r>
    </w:p>
    <w:p>
      <w:pPr>
        <w:spacing w:after="120"/>
      </w:pPr>
      <w:r>
        <w:t>• Secteur interne d’une communauté. Il correspondrait à un niveau de gestion hydraulique pouvant nécessiter d’être visualisé ou géré comme une entité propre.</w:t>
      </w:r>
    </w:p>
    <w:p>
      <w:pPr>
        <w:spacing w:after="120"/>
      </w:pPr>
      <w:r>
        <w:t>• Parcelle individuelle. Elle correspond au niveau où la gestion collective cède la place à la gestion privée par l’irrigant. Pour des raisons pratiques, il peut être pertinent qu’elle coïncide avec le parcellaire utilisé dans les déclarations obligatoires de cultures (PAC).</w:t>
      </w:r>
    </w:p>
    <w:p>
      <w:pPr>
        <w:spacing w:after="120"/>
      </w:pPr>
      <w:r>
        <w:t>En ce qui concerne la gestion privée par les irrigants, il peut être pertinent de distinguer les niveaux suivants :</w:t>
      </w:r>
    </w:p>
    <w:p>
      <w:pPr>
        <w:spacing w:after="120"/>
      </w:pPr>
      <w:r>
        <w:t>• Exploitation privée. Il s’agirait d’un ensemble de parcelles individuelles partageant la même affectation à un irrigant (ou à une équipe d’irrigants). Elle ne correspond pas nécessairement à une zone géographique continue et ne doit pas nécessairement être contenue dans un même secteur interne de la communauté, puisqu’il s’agit de niveaux d’organisation distincts.</w:t>
      </w:r>
    </w:p>
    <w:p>
      <w:pPr>
        <w:spacing w:after="120"/>
      </w:pPr>
      <w:r>
        <w:t>• Parcelle individuelle. Il s’agit de la même entité au niveau de laquelle coïncident la gestion des irrigants et celle du collectif de la communauté.</w:t>
      </w:r>
    </w:p>
    <w:p>
      <w:pPr>
        <w:spacing w:after="120"/>
      </w:pPr>
      <w:r>
        <w:t>• Unité de gestion au sein d’une parcelle. Les irrigants peuvent ne pas gérer la parcelle individuelle de manière homogène, mais la gérer en la subdivisant en unités de gestion plus petites. La prise en compte de cette possibilité permettra une plus grande flexibilité pour adapter le niveau d’interaction avec la communauté et avec l’administration qui représente la parcelle individuelle à la réalité de la gestion par l’irrigant.</w:t>
      </w:r>
    </w:p>
    <w:p>
      <w:pPr>
        <w:pStyle w:val="Heading1"/>
      </w:pPr>
      <w:r>
        <w:t>4.2. Gestion des données</w:t>
      </w:r>
    </w:p>
    <w:p>
      <w:pPr>
        <w:spacing w:after="120"/>
      </w:pPr>
      <w:r>
        <w:t>Comme dans tout système numérique utilisé dans le contexte de l’agriculture, les services liés à la numérisation de l’eau dans l’irrigation devront prendre en compte certaines considérations dans leur politique de données.</w:t>
      </w:r>
    </w:p>
    <w:p>
      <w:pPr>
        <w:spacing w:after="120"/>
      </w:pPr>
      <w:r>
        <w:t>Comme cadre de référence pour la gestion des données dans les solutions numériques destinées à l’agriculture, le code de conduite de l’UE sur le partage des données agricoles constitue un document qui analyse les principes généraux de partage des données agricoles au sein de la chaîne agroalimentaire.</w:t>
      </w:r>
    </w:p>
    <w:p>
      <w:pPr>
        <w:spacing w:after="120"/>
      </w:pPr>
      <w:r>
        <w:t>Ce code de conduite comprend certaines considérations claires concernant l’accès aux données, résumées ci-dessous :</w:t>
      </w:r>
    </w:p>
    <w:p>
      <w:pPr>
        <w:spacing w:after="120"/>
      </w:pPr>
      <w:r>
        <w:t>• Avant toute collecte, tout stockage ou toute utilisation de données agricoles, il est indispensable que le producteur des données ait donné explicitement son autorisation.</w:t>
      </w:r>
    </w:p>
    <w:p>
      <w:pPr>
        <w:spacing w:after="120"/>
      </w:pPr>
      <w:r>
        <w:t>• Les données ne pourront être collectées et utilisées qu’aux fins spécifiées dans le contrat et ne devront être conservées que pendant la durée strictement nécessaire à leur utilisation.</w:t>
      </w:r>
    </w:p>
    <w:p>
      <w:pPr>
        <w:spacing w:after="120"/>
      </w:pPr>
      <w:r>
        <w:t>• Il ne sera possible d’identifier le producteur des données que si celui-ci y a consenti de manière claire et sans ambiguïté. Dans le cas contraire, des pseudonymes devront être utilisés pour identifier l’origine des données.</w:t>
      </w:r>
    </w:p>
    <w:p>
      <w:pPr>
        <w:spacing w:after="120"/>
      </w:pPr>
      <w:r>
        <w:t>• Les informations ne pourront être partagées avec des tiers que si cela est nécessaire à la prestation du service demandé et dans les conditions spécifiées dans le contrat. Dans le cas contraire, seules des données agrégées, pseudonymisées ou anonymisées pourront être partagées.</w:t>
      </w:r>
    </w:p>
    <w:p>
      <w:pPr>
        <w:spacing w:after="120"/>
      </w:pPr>
      <w:r>
        <w:t>• Les producteurs de données devront toujours disposer d’un accès approprié et simple aux données. En outre, ils ne devraient pas rencontrer de limitations pour transférer leurs données vers d’autres plateformes.</w:t>
      </w:r>
    </w:p>
    <w:p>
      <w:pPr>
        <w:pStyle w:val="Heading1"/>
      </w:pPr>
      <w:r>
        <w:t>4.3. Accès et autorisations</w:t>
      </w:r>
    </w:p>
    <w:p>
      <w:pPr>
        <w:spacing w:after="120"/>
      </w:pPr>
      <w:r>
        <w:t>Dans le contexte des services liés à la numérisation de l’eau dans l’irrigation, l’accès à l’information devra tenir compte de différents profils d’utilisateurs. Chacun de ces profils peut nécessiter des interfaces utilisateur différentes. De plus, chaque profil disposera de droits différents pour visualiser ou modifier les données, avec la particularité que les droits peuvent dépendre de la position géographique des données.</w:t>
      </w:r>
    </w:p>
    <w:p>
      <w:pPr>
        <w:spacing w:after="120"/>
      </w:pPr>
      <w:r>
        <w:t>Quelques profils à prendre en compte :</w:t>
      </w:r>
    </w:p>
    <w:p>
      <w:pPr>
        <w:spacing w:after="120"/>
      </w:pPr>
      <w:r>
        <w:t>Irrigant. Il serait le destinataire de la majeure partie des informations au niveau des parcelles individuelles. Un irrigant se verra donc attribuer certaines parcelles auxquelles il pourra accéder, mais pas à d’autres. Il serait probablement également utile qu’il ait accès à certaines données agrégées incluant ses parcelles. Différents niveaux d’irrigants pourraient être distingués. Tout d’abord, selon le niveau de complexité des interfaces utilisateur et des données auxquelles l’accès sera accordé. Par exemple, on peut distinguer les utilisateurs de base et les utilisateurs avancés. Il pourrait également exister des irrigants qui, en plus de pouvoir visualiser les informations, disposent de droits pour saisir ou modifier les données correspondant à leurs parcelles.</w:t>
      </w:r>
    </w:p>
    <w:p>
      <w:pPr>
        <w:spacing w:after="120"/>
      </w:pPr>
      <w:r>
        <w:t>Gestionnaire collectif. Il s’agirait de l’utilisateur spécialisé dans un certain niveau de gestion collective de l’irrigation. Cet utilisateur, au lieu d’avoir des parcelles individuelles qui lui sont attribuées, se voit attribuer une zone géographique pouvant regrouper un grand nombre de parcelles individuelles. Par exemple, le technicien qui gère les demandes d’irrigation de l’ensemble des parcelles d’une communauté d’irrigants. Cet utilisateur manipulera surtout des informations agrégées ainsi que celles liées aux infrastructures. Il aura probablement un accès en visualisation et en édition à toutes les informations de la zone qui lui est attribuée, ainsi qu’à tout ou partie des informations des parcelles individuelles qui y sont incluses.</w:t>
      </w:r>
    </w:p>
    <w:p>
      <w:pPr>
        <w:spacing w:after="120"/>
      </w:pPr>
      <w:r>
        <w:t>Administrateur. Il peut être utile de prévoir un profil d’utilisateur disposant d’un niveau total d’accès et d’autorisations. Cela comprend l’accès aux données personnelles ou sensibles. Il pourrait également être responsable de l’attribution des niveaux d’accès et des autorisations aux autres utilisateurs.</w:t>
      </w:r>
    </w:p>
    <w:p>
      <w:pPr>
        <w:pStyle w:val="Heading1"/>
      </w:pPr>
      <w:r>
        <w:t>4.4. Coûts</w:t>
      </w:r>
    </w:p>
    <w:p>
      <w:pPr>
        <w:spacing w:after="120"/>
      </w:pPr>
      <w:r>
        <w:t>Les coûts des solutions numériques sont généralement constitués de plusieurs composantes décrites ci-dessous. Ces coûts peuvent être très différents selon le modèle économique et le segment de marché auquel la solution numérique commercialisée s’adresse.</w:t>
      </w:r>
    </w:p>
    <w:p>
      <w:pPr>
        <w:spacing w:after="120"/>
      </w:pPr>
      <w:r>
        <w:t>L’équipement physique nécessaire comprend souvent des composants spécialisés développés expressément par l’entreprise qui propose la solution, ainsi que d’autres composants disponibles sur le marché, avec une plus ou moins grande diversité de fournisseurs possibles. C’est le cas de nombreuses entreprises de capteurs liés à l’irrigation, qui développent leurs propres équipements d’acquisition de données auxquels elles raccordent des capteurs de fabricants très spécialisés. À moins qu’il ne s’agisse d’un produit particulièrement innovant, il existe généralement une diversité de fournisseurs d’équipements physiques, de sorte que les prix peuvent être relativement similaires entre eux. Si les clients se concentrent sur le coût de l’équipement, fixer des prix plus élevés que ceux des concurrents peut être contre-productif, sauf s’ils sont justifiés par une plus grande réputation des fabricants. En outre, le coût de l’équipement peut constituer une barrière importante à l’entrée pour les clients.</w:t>
      </w:r>
    </w:p>
    <w:p>
      <w:pPr>
        <w:spacing w:after="120"/>
      </w:pPr>
      <w:r>
        <w:t>Abonnement aux plateformes numériques. L’équipement physique déployé sur le terrain parvient généralement aux utilisateurs finaux par l’intermédiaire de plateformes en nuage, sur lesquelles les données peuvent être consultées. Ces mêmes plateformes peuvent être plus ou moins complexes selon qu’elles se limitent à héberger les données pour leur consultation (visuelle ou téléchargeable) ou qu’elles offrent un traitement plus élaboré, comme des calculs spécialisés, une interprétation non triviale des observations, des recommandations de gestion de l’irrigation ou de l’automatisation. Le coût de développement et d’exploitation des plateformes variera selon leur complexité. Si l’on considère uniquement le coût de développement et la maintenance purement informatique des plateformes, le coût par unité de service diminuera avec le nombre d’utilisateurs. Pour cette raison, on peut s’attendre à ce que les plateformes généralistes soient plus abordables que les plateformes spécialisées dans un secteur vertical.</w:t>
      </w:r>
    </w:p>
    <w:p>
      <w:pPr>
        <w:spacing w:after="120"/>
      </w:pPr>
      <w:r>
        <w:t>Dans le coût d’exploitation des plateformes, il est toutefois également nécessaire de tenir compte du niveau de fiabilité et d’engagement envers l’utilisateur. D’une part, selon le degré de criticité des processus traités par la plateforme, un niveau de fiabilité plus élevé sera nécessaire, ce qui augmentera le coût. Si la plateforme élabore un quelconque type de prescription, le niveau d’engagement qu’elle assume aura un impact considérable sur le coût. Si la plateforme n’assume aucune responsabilité, le surcoût lié à cet engagement sera minimal ; en revanche, si la plateforme se porte responsable de la qualité des recommandations qu’elle fournit, cette composante du coût peut augmenter fortement jusqu’à devenir le principal déterminant du coût du service à l’utilisateur.</w:t>
      </w:r>
    </w:p>
    <w:p>
      <w:pPr>
        <w:spacing w:after="120"/>
      </w:pPr>
      <w:r>
        <w:t>Services personnalisés. Autour d’une solution numérique, qui peut être entièrement informatisée, peuvent exister différents types de services personnalisés, non automatisés et donc soumis à un coût horaire correspondant au temps consacré par le personnel. Cela comprend notamment l’assistance lors de la souscription au service, le dépannage, les services techniques de résolution de problèmes, la formation de l’utilisateur, etc. Cela peut également inclure des services de conseil portant sur l’interprétation des données ou des actions d’optimisation des processus pouvant être entreprises à partir des données fournies par la solution.</w:t>
      </w:r>
    </w:p>
    <w:p>
      <w:pPr>
        <w:spacing w:after="120"/>
      </w:pPr>
      <w:r>
        <w:t>Un autre aspect pertinent du modèle de coûts est l’unité de facturation. Dans les solutions numériques dépendant de l’installation d’un dispositif sur le terrain, l’unité de facturation est généralement fondée sur le nombre de dispositifs installés. Par exemple, le prix d’un abonnement à des services de capteurs est généralement lié au nombre de dispositifs. En revanche, lorsque le service ne comporte pas de composante physique quantifiable sur le terrain, la facturation est généralement fondée sur le nombre d’hectares, comme c’est souvent le cas pour la télédétection.</w:t>
      </w:r>
    </w:p>
    <w:p>
      <w:pPr>
        <w:spacing w:after="120"/>
      </w:pPr>
      <w:r>
        <w:t>Pour toutes ces raisons, le modèle de coûts varie non seulement en fonction de la technologie intégrée, mais également en fonction d’aspects stratégiques, assez intangibles, tels que le niveau d’engagement et de responsabilité assumé par l’entreprise qui exploite commercialement la solution.</w:t>
      </w:r>
    </w:p>
    <w:p>
      <w:pPr>
        <w:pStyle w:val="Heading1"/>
      </w:pPr>
      <w:r>
        <w:t>4.5. Flux de données et interopérabilité</w:t>
      </w:r>
    </w:p>
    <w:p>
      <w:pPr>
        <w:spacing w:after="120"/>
      </w:pPr>
      <w:r>
        <w:t>Les données gérées dans la numérisation de l’irrigation comprennent certaines couches qui ne devront être mises à jour qu’occasionnellement (par exemple, le tracé des infrastructures), d’autres qui devront être mises à jour annuellement (par exemple, la répartition des cultures pendant la campagne d’irrigation en cours) et d’autres encore qui pourraient être mises à jour à très haute fréquence (par exemple, les demandes d’irrigation et les données provenant des capteurs).</w:t>
      </w:r>
    </w:p>
    <w:p>
      <w:pPr>
        <w:spacing w:after="120"/>
      </w:pPr>
      <w:r>
        <w:t>Ce flux de données peut bénéficier de l’intégration éventuelle d’ensembles de données déjà préparés provenant d’autres systèmes. De même, les informations gérées par notre système peuvent présenter un grand intérêt comme données d’entrée pour d’autres systèmes. Il est donc très pertinent de considérer l’interopérabilité entre les systèmes informatiques comme une exigence habituelle dans le contexte de la numérisation de l’irrigation.</w:t>
      </w:r>
    </w:p>
    <w:p>
      <w:pPr>
        <w:spacing w:after="120"/>
      </w:pPr>
      <w:r>
        <w:t>Comme références en matière d’interopérabilité dans le domaine de l’irrigation, la norme nationale UNE 318002-3 « Techniques d’irrigation. Télécontrôle des zones irrigables. Partie 3 : Interopérabilité » a été publiée en 2021 et est déjà appliquée aux systèmes de télécontrôle actuellement installés en Espagne. Par la suite, au niveau international, la norme ISO 21622-3:2024 « Irrigation techniques — Remote monitoring and control for irrigation » a été publiée en 2024.</w:t>
      </w:r>
    </w:p>
    <w:p>
      <w:pPr>
        <w:spacing w:after="120"/>
      </w:pPr>
      <w:r>
        <w:t>L’objet de cette norme d’interopérabilité est d’établir les exigences minimales relatives à la structure des données pour la transmission de données entre les différents équipements, dispositifs et capteurs pouvant être installés sur un réseau d’irrigation, même lorsqu’ils proviennent de différentes entreprises ou utilisent des logiciels différents, rendant ainsi possible une agriculture numérique.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